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600" w:type="dxa"/>
        <w:tblCellMar>
          <w:top w:w="15" w:type="dxa"/>
          <w:left w:w="15" w:type="dxa"/>
          <w:bottom w:w="15" w:type="dxa"/>
          <w:right w:w="15" w:type="dxa"/>
        </w:tblCellMar>
        <w:tblLook w:val="04A0" w:firstRow="1" w:lastRow="0" w:firstColumn="1" w:lastColumn="0" w:noHBand="0" w:noVBand="1"/>
      </w:tblPr>
      <w:tblGrid>
        <w:gridCol w:w="3750"/>
        <w:gridCol w:w="17850"/>
      </w:tblGrid>
      <w:tr w:rsidR="007C6688" w:rsidRPr="007C6688" w:rsidTr="007C6688">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b/>
                <w:bCs/>
                <w:color w:val="1382CE"/>
                <w:sz w:val="21"/>
                <w:szCs w:val="21"/>
              </w:rPr>
            </w:pPr>
            <w:r w:rsidRPr="007C6688">
              <w:rPr>
                <w:rFonts w:ascii="Arial" w:eastAsia="Times New Roman" w:hAnsi="Arial" w:cs="Arial"/>
                <w:b/>
                <w:bCs/>
                <w:color w:val="1382CE"/>
                <w:sz w:val="21"/>
                <w:szCs w:val="21"/>
              </w:rPr>
              <w:t>Tender No.</w:t>
            </w: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color w:val="545454"/>
                <w:sz w:val="21"/>
                <w:szCs w:val="21"/>
              </w:rPr>
            </w:pPr>
            <w:hyperlink r:id="rId4" w:history="1">
              <w:r w:rsidRPr="007C6688">
                <w:rPr>
                  <w:rFonts w:ascii="Arial" w:eastAsia="Times New Roman" w:hAnsi="Arial" w:cs="Arial"/>
                  <w:color w:val="0000FF"/>
                  <w:sz w:val="21"/>
                  <w:szCs w:val="21"/>
                  <w:u w:val="single"/>
                </w:rPr>
                <w:t>2580/2023</w:t>
              </w:r>
            </w:hyperlink>
          </w:p>
        </w:tc>
      </w:tr>
      <w:tr w:rsidR="007C6688" w:rsidRPr="007C6688" w:rsidTr="007C6688">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b/>
                <w:bCs/>
                <w:color w:val="1382CE"/>
                <w:sz w:val="21"/>
                <w:szCs w:val="21"/>
              </w:rPr>
            </w:pPr>
            <w:r w:rsidRPr="007C6688">
              <w:rPr>
                <w:rFonts w:ascii="Arial" w:eastAsia="Times New Roman" w:hAnsi="Arial" w:cs="Arial"/>
                <w:b/>
                <w:bCs/>
                <w:color w:val="1382CE"/>
                <w:sz w:val="21"/>
                <w:szCs w:val="21"/>
              </w:rPr>
              <w:t>Subject</w:t>
            </w: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color w:val="545454"/>
                <w:sz w:val="21"/>
                <w:szCs w:val="21"/>
              </w:rPr>
            </w:pPr>
            <w:r w:rsidRPr="007C6688">
              <w:rPr>
                <w:rFonts w:ascii="Arial" w:eastAsia="Times New Roman" w:hAnsi="Arial" w:cs="Arial"/>
                <w:color w:val="545454"/>
                <w:sz w:val="21"/>
                <w:szCs w:val="21"/>
              </w:rPr>
              <w:t>A public auction for the sale of invalid electronic devices at the General Authority of Customs</w:t>
            </w:r>
          </w:p>
        </w:tc>
      </w:tr>
      <w:tr w:rsidR="007C6688" w:rsidRPr="007C6688" w:rsidTr="007C6688">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b/>
                <w:bCs/>
                <w:color w:val="1382CE"/>
                <w:sz w:val="21"/>
                <w:szCs w:val="21"/>
              </w:rPr>
            </w:pPr>
            <w:r w:rsidRPr="007C6688">
              <w:rPr>
                <w:rFonts w:ascii="Arial" w:eastAsia="Times New Roman" w:hAnsi="Arial" w:cs="Arial"/>
                <w:b/>
                <w:bCs/>
                <w:color w:val="1382CE"/>
                <w:sz w:val="21"/>
                <w:szCs w:val="21"/>
              </w:rPr>
              <w:t>Announced Date</w:t>
            </w: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b/>
                <w:bCs/>
                <w:color w:val="1382CE"/>
                <w:sz w:val="21"/>
                <w:szCs w:val="21"/>
              </w:rPr>
            </w:pPr>
          </w:p>
        </w:tc>
      </w:tr>
      <w:tr w:rsidR="007C6688" w:rsidRPr="007C6688" w:rsidTr="007C6688">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b/>
                <w:bCs/>
                <w:color w:val="1382CE"/>
                <w:sz w:val="21"/>
                <w:szCs w:val="21"/>
              </w:rPr>
            </w:pPr>
            <w:r w:rsidRPr="007C6688">
              <w:rPr>
                <w:rFonts w:ascii="Arial" w:eastAsia="Times New Roman" w:hAnsi="Arial" w:cs="Arial"/>
                <w:b/>
                <w:bCs/>
                <w:color w:val="1382CE"/>
                <w:sz w:val="21"/>
                <w:szCs w:val="21"/>
              </w:rPr>
              <w:t>Request Types</w:t>
            </w: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color w:val="545454"/>
                <w:sz w:val="21"/>
                <w:szCs w:val="21"/>
              </w:rPr>
            </w:pPr>
            <w:r w:rsidRPr="007C6688">
              <w:rPr>
                <w:rFonts w:ascii="Arial" w:eastAsia="Times New Roman" w:hAnsi="Arial" w:cs="Arial"/>
                <w:color w:val="545454"/>
                <w:sz w:val="21"/>
                <w:szCs w:val="21"/>
              </w:rPr>
              <w:t>Service Providers</w:t>
            </w:r>
          </w:p>
        </w:tc>
      </w:tr>
      <w:tr w:rsidR="007C6688" w:rsidRPr="007C6688" w:rsidTr="007C6688">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b/>
                <w:bCs/>
                <w:color w:val="1382CE"/>
                <w:sz w:val="21"/>
                <w:szCs w:val="21"/>
              </w:rPr>
            </w:pPr>
            <w:r w:rsidRPr="007C6688">
              <w:rPr>
                <w:rFonts w:ascii="Arial" w:eastAsia="Times New Roman" w:hAnsi="Arial" w:cs="Arial"/>
                <w:b/>
                <w:bCs/>
                <w:color w:val="1382CE"/>
                <w:sz w:val="21"/>
                <w:szCs w:val="21"/>
              </w:rPr>
              <w:t>Insurance</w:t>
            </w: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b/>
                <w:bCs/>
                <w:color w:val="1382CE"/>
                <w:sz w:val="21"/>
                <w:szCs w:val="21"/>
              </w:rPr>
            </w:pPr>
          </w:p>
        </w:tc>
      </w:tr>
      <w:tr w:rsidR="007C6688" w:rsidRPr="007C6688" w:rsidTr="007C6688">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b/>
                <w:bCs/>
                <w:color w:val="1382CE"/>
                <w:sz w:val="21"/>
                <w:szCs w:val="21"/>
              </w:rPr>
            </w:pPr>
            <w:r w:rsidRPr="007C6688">
              <w:rPr>
                <w:rFonts w:ascii="Arial" w:eastAsia="Times New Roman" w:hAnsi="Arial" w:cs="Arial"/>
                <w:b/>
                <w:bCs/>
                <w:color w:val="1382CE"/>
                <w:sz w:val="21"/>
                <w:szCs w:val="21"/>
              </w:rPr>
              <w:t>Documents Value (Q.R)</w:t>
            </w: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color w:val="545454"/>
                <w:sz w:val="21"/>
                <w:szCs w:val="21"/>
              </w:rPr>
            </w:pPr>
            <w:r w:rsidRPr="007C6688">
              <w:rPr>
                <w:rFonts w:ascii="Arial" w:eastAsia="Times New Roman" w:hAnsi="Arial" w:cs="Arial"/>
                <w:color w:val="545454"/>
                <w:sz w:val="21"/>
                <w:szCs w:val="21"/>
              </w:rPr>
              <w:t>500</w:t>
            </w:r>
          </w:p>
        </w:tc>
      </w:tr>
      <w:tr w:rsidR="007C6688" w:rsidRPr="007C6688" w:rsidTr="007C6688">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b/>
                <w:bCs/>
                <w:color w:val="1382CE"/>
                <w:sz w:val="21"/>
                <w:szCs w:val="21"/>
              </w:rPr>
            </w:pPr>
            <w:r w:rsidRPr="007C6688">
              <w:rPr>
                <w:rFonts w:ascii="Arial" w:eastAsia="Times New Roman" w:hAnsi="Arial" w:cs="Arial"/>
                <w:b/>
                <w:bCs/>
                <w:color w:val="1382CE"/>
                <w:sz w:val="21"/>
                <w:szCs w:val="21"/>
              </w:rPr>
              <w:t>Ministry</w:t>
            </w: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color w:val="545454"/>
                <w:sz w:val="21"/>
                <w:szCs w:val="21"/>
              </w:rPr>
            </w:pPr>
            <w:r w:rsidRPr="007C6688">
              <w:rPr>
                <w:rFonts w:ascii="Arial" w:eastAsia="Times New Roman" w:hAnsi="Arial" w:cs="Arial"/>
                <w:color w:val="545454"/>
                <w:sz w:val="21"/>
                <w:szCs w:val="21"/>
              </w:rPr>
              <w:t>General Authority Customs</w:t>
            </w:r>
          </w:p>
        </w:tc>
      </w:tr>
      <w:tr w:rsidR="007C6688" w:rsidRPr="007C6688" w:rsidTr="007C6688">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b/>
                <w:bCs/>
                <w:color w:val="1382CE"/>
                <w:sz w:val="21"/>
                <w:szCs w:val="21"/>
              </w:rPr>
            </w:pPr>
            <w:r w:rsidRPr="007C6688">
              <w:rPr>
                <w:rFonts w:ascii="Arial" w:eastAsia="Times New Roman" w:hAnsi="Arial" w:cs="Arial"/>
                <w:b/>
                <w:bCs/>
                <w:color w:val="1382CE"/>
                <w:sz w:val="21"/>
                <w:szCs w:val="21"/>
              </w:rPr>
              <w:t>Type</w:t>
            </w: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color w:val="545454"/>
                <w:sz w:val="21"/>
                <w:szCs w:val="21"/>
              </w:rPr>
            </w:pPr>
            <w:r w:rsidRPr="007C6688">
              <w:rPr>
                <w:rFonts w:ascii="Arial" w:eastAsia="Times New Roman" w:hAnsi="Arial" w:cs="Arial"/>
                <w:color w:val="545454"/>
                <w:sz w:val="21"/>
                <w:szCs w:val="21"/>
              </w:rPr>
              <w:t>Sealed-Bid Auction</w:t>
            </w:r>
          </w:p>
        </w:tc>
      </w:tr>
      <w:tr w:rsidR="007C6688" w:rsidRPr="007C6688" w:rsidTr="007C6688">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b/>
                <w:bCs/>
                <w:color w:val="1382CE"/>
                <w:sz w:val="21"/>
                <w:szCs w:val="21"/>
              </w:rPr>
            </w:pPr>
            <w:r w:rsidRPr="007C6688">
              <w:rPr>
                <w:rFonts w:ascii="Arial" w:eastAsia="Times New Roman" w:hAnsi="Arial" w:cs="Arial"/>
                <w:b/>
                <w:bCs/>
                <w:color w:val="1382CE"/>
                <w:sz w:val="21"/>
                <w:szCs w:val="21"/>
              </w:rPr>
              <w:t>Closing Date</w:t>
            </w: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Arial" w:eastAsia="Times New Roman" w:hAnsi="Arial" w:cs="Arial"/>
                <w:color w:val="545454"/>
                <w:sz w:val="21"/>
                <w:szCs w:val="21"/>
              </w:rPr>
            </w:pPr>
            <w:r w:rsidRPr="007C6688">
              <w:rPr>
                <w:rFonts w:ascii="Arial" w:eastAsia="Times New Roman" w:hAnsi="Arial" w:cs="Arial"/>
                <w:color w:val="545454"/>
                <w:sz w:val="21"/>
                <w:szCs w:val="21"/>
              </w:rPr>
              <w:t>27/08/2023</w:t>
            </w:r>
          </w:p>
        </w:tc>
      </w:tr>
    </w:tbl>
    <w:p w:rsidR="007C6688" w:rsidRPr="007C6688" w:rsidRDefault="007C6688" w:rsidP="007C6688">
      <w:pPr>
        <w:bidi w:val="0"/>
        <w:spacing w:after="0" w:line="240" w:lineRule="auto"/>
        <w:rPr>
          <w:rFonts w:ascii="Times New Roman" w:eastAsia="Times New Roman" w:hAnsi="Times New Roman" w:cs="Times New Roman"/>
          <w:sz w:val="24"/>
          <w:szCs w:val="24"/>
        </w:rPr>
      </w:pPr>
    </w:p>
    <w:tbl>
      <w:tblPr>
        <w:tblW w:w="21600" w:type="dxa"/>
        <w:tblCellMar>
          <w:top w:w="15" w:type="dxa"/>
          <w:left w:w="15" w:type="dxa"/>
          <w:bottom w:w="15" w:type="dxa"/>
          <w:right w:w="15" w:type="dxa"/>
        </w:tblCellMar>
        <w:tblLook w:val="04A0" w:firstRow="1" w:lastRow="0" w:firstColumn="1" w:lastColumn="0" w:noHBand="0" w:noVBand="1"/>
      </w:tblPr>
      <w:tblGrid>
        <w:gridCol w:w="2149"/>
        <w:gridCol w:w="4162"/>
        <w:gridCol w:w="2066"/>
        <w:gridCol w:w="2157"/>
        <w:gridCol w:w="2373"/>
        <w:gridCol w:w="2282"/>
        <w:gridCol w:w="1996"/>
        <w:gridCol w:w="2224"/>
        <w:gridCol w:w="2191"/>
      </w:tblGrid>
      <w:tr w:rsidR="007C6688" w:rsidRPr="007C6688" w:rsidTr="007C6688">
        <w:trPr>
          <w:tblHeader/>
        </w:trPr>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b/>
                <w:bCs/>
                <w:color w:val="1382CE"/>
                <w:sz w:val="24"/>
                <w:szCs w:val="24"/>
              </w:rPr>
            </w:pPr>
            <w:r w:rsidRPr="007C6688">
              <w:rPr>
                <w:rFonts w:ascii="Times New Roman" w:eastAsia="Times New Roman" w:hAnsi="Times New Roman" w:cs="Times New Roman"/>
                <w:b/>
                <w:bCs/>
                <w:color w:val="1382CE"/>
                <w:sz w:val="24"/>
                <w:szCs w:val="24"/>
              </w:rPr>
              <w:t>Tender No</w:t>
            </w:r>
          </w:p>
        </w:tc>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b/>
                <w:bCs/>
                <w:color w:val="1382CE"/>
                <w:sz w:val="24"/>
                <w:szCs w:val="24"/>
              </w:rPr>
            </w:pPr>
            <w:r w:rsidRPr="007C6688">
              <w:rPr>
                <w:rFonts w:ascii="Times New Roman" w:eastAsia="Times New Roman" w:hAnsi="Times New Roman" w:cs="Times New Roman"/>
                <w:b/>
                <w:bCs/>
                <w:color w:val="1382CE"/>
                <w:sz w:val="24"/>
                <w:szCs w:val="24"/>
              </w:rPr>
              <w:t>Subject</w:t>
            </w:r>
          </w:p>
        </w:tc>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b/>
                <w:bCs/>
                <w:color w:val="1382CE"/>
                <w:sz w:val="24"/>
                <w:szCs w:val="24"/>
              </w:rPr>
            </w:pPr>
            <w:r w:rsidRPr="007C6688">
              <w:rPr>
                <w:rFonts w:ascii="Times New Roman" w:eastAsia="Times New Roman" w:hAnsi="Times New Roman" w:cs="Times New Roman"/>
                <w:b/>
                <w:bCs/>
                <w:color w:val="1382CE"/>
                <w:sz w:val="24"/>
                <w:szCs w:val="24"/>
              </w:rPr>
              <w:t>Ministry</w:t>
            </w:r>
          </w:p>
        </w:tc>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b/>
                <w:bCs/>
                <w:color w:val="1382CE"/>
                <w:sz w:val="24"/>
                <w:szCs w:val="24"/>
              </w:rPr>
            </w:pPr>
            <w:r w:rsidRPr="007C6688">
              <w:rPr>
                <w:rFonts w:ascii="Times New Roman" w:eastAsia="Times New Roman" w:hAnsi="Times New Roman" w:cs="Times New Roman"/>
                <w:b/>
                <w:bCs/>
                <w:color w:val="1382CE"/>
                <w:sz w:val="24"/>
                <w:szCs w:val="24"/>
              </w:rPr>
              <w:t>Tender Num At Requester</w:t>
            </w:r>
          </w:p>
        </w:tc>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b/>
                <w:bCs/>
                <w:color w:val="1382CE"/>
                <w:sz w:val="24"/>
                <w:szCs w:val="24"/>
              </w:rPr>
            </w:pPr>
            <w:r w:rsidRPr="007C6688">
              <w:rPr>
                <w:rFonts w:ascii="Times New Roman" w:eastAsia="Times New Roman" w:hAnsi="Times New Roman" w:cs="Times New Roman"/>
                <w:b/>
                <w:bCs/>
                <w:color w:val="1382CE"/>
                <w:sz w:val="24"/>
                <w:szCs w:val="24"/>
              </w:rPr>
              <w:t>Classification</w:t>
            </w:r>
          </w:p>
        </w:tc>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b/>
                <w:bCs/>
                <w:color w:val="1382CE"/>
                <w:sz w:val="24"/>
                <w:szCs w:val="24"/>
              </w:rPr>
            </w:pPr>
            <w:r w:rsidRPr="007C6688">
              <w:rPr>
                <w:rFonts w:ascii="Times New Roman" w:eastAsia="Times New Roman" w:hAnsi="Times New Roman" w:cs="Times New Roman"/>
                <w:b/>
                <w:bCs/>
                <w:color w:val="1382CE"/>
                <w:sz w:val="24"/>
                <w:szCs w:val="24"/>
              </w:rPr>
              <w:t>Envelopes system</w:t>
            </w:r>
          </w:p>
        </w:tc>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b/>
                <w:bCs/>
                <w:color w:val="1382CE"/>
                <w:sz w:val="24"/>
                <w:szCs w:val="24"/>
              </w:rPr>
            </w:pPr>
            <w:r w:rsidRPr="007C6688">
              <w:rPr>
                <w:rFonts w:ascii="Times New Roman" w:eastAsia="Times New Roman" w:hAnsi="Times New Roman" w:cs="Times New Roman"/>
                <w:b/>
                <w:bCs/>
                <w:color w:val="1382CE"/>
                <w:sz w:val="24"/>
                <w:szCs w:val="24"/>
              </w:rPr>
              <w:t>Tender Bond</w:t>
            </w:r>
          </w:p>
        </w:tc>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b/>
                <w:bCs/>
                <w:color w:val="1382CE"/>
                <w:sz w:val="24"/>
                <w:szCs w:val="24"/>
              </w:rPr>
            </w:pPr>
            <w:r w:rsidRPr="007C6688">
              <w:rPr>
                <w:rFonts w:ascii="Times New Roman" w:eastAsia="Times New Roman" w:hAnsi="Times New Roman" w:cs="Times New Roman"/>
                <w:b/>
                <w:bCs/>
                <w:color w:val="1382CE"/>
                <w:sz w:val="24"/>
                <w:szCs w:val="24"/>
              </w:rPr>
              <w:t>Documents Value (Q.R)</w:t>
            </w:r>
          </w:p>
        </w:tc>
        <w:tc>
          <w:tcPr>
            <w:tcW w:w="3750" w:type="dxa"/>
            <w:tcBorders>
              <w:bottom w:val="single" w:sz="6" w:space="0" w:color="0B2161"/>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b/>
                <w:bCs/>
                <w:color w:val="1382CE"/>
                <w:sz w:val="24"/>
                <w:szCs w:val="24"/>
              </w:rPr>
            </w:pPr>
            <w:r w:rsidRPr="007C6688">
              <w:rPr>
                <w:rFonts w:ascii="Times New Roman" w:eastAsia="Times New Roman" w:hAnsi="Times New Roman" w:cs="Times New Roman"/>
                <w:b/>
                <w:bCs/>
                <w:color w:val="1382CE"/>
                <w:sz w:val="24"/>
                <w:szCs w:val="24"/>
              </w:rPr>
              <w:t>Closing Date</w:t>
            </w:r>
          </w:p>
        </w:tc>
      </w:tr>
      <w:tr w:rsidR="007C6688" w:rsidRPr="007C6688" w:rsidTr="007C6688">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color w:val="545454"/>
                <w:sz w:val="24"/>
                <w:szCs w:val="24"/>
              </w:rPr>
            </w:pPr>
            <w:r w:rsidRPr="007C6688">
              <w:rPr>
                <w:rFonts w:ascii="Times New Roman" w:eastAsia="Times New Roman" w:hAnsi="Times New Roman" w:cs="Times New Roman"/>
                <w:color w:val="545454"/>
                <w:sz w:val="24"/>
                <w:szCs w:val="24"/>
              </w:rPr>
              <w:t>2580/2023</w:t>
            </w: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color w:val="545454"/>
                <w:sz w:val="24"/>
                <w:szCs w:val="24"/>
              </w:rPr>
            </w:pPr>
            <w:r w:rsidRPr="007C6688">
              <w:rPr>
                <w:rFonts w:ascii="Times New Roman" w:eastAsia="Times New Roman" w:hAnsi="Times New Roman" w:cs="Times New Roman"/>
                <w:color w:val="545454"/>
                <w:sz w:val="24"/>
                <w:szCs w:val="24"/>
              </w:rPr>
              <w:t>A public auction for the sale of invalid electronic devices at the General Authority of Customs</w:t>
            </w: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color w:val="545454"/>
                <w:sz w:val="24"/>
                <w:szCs w:val="24"/>
              </w:rPr>
            </w:pP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sz w:val="20"/>
                <w:szCs w:val="20"/>
              </w:rPr>
            </w:pP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color w:val="545454"/>
                <w:sz w:val="24"/>
                <w:szCs w:val="24"/>
              </w:rPr>
            </w:pPr>
            <w:r w:rsidRPr="007C6688">
              <w:rPr>
                <w:rFonts w:ascii="Times New Roman" w:eastAsia="Times New Roman" w:hAnsi="Times New Roman" w:cs="Times New Roman"/>
                <w:color w:val="545454"/>
                <w:sz w:val="24"/>
                <w:szCs w:val="24"/>
              </w:rPr>
              <w:t>Service Providers</w:t>
            </w: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color w:val="545454"/>
                <w:sz w:val="24"/>
                <w:szCs w:val="24"/>
              </w:rPr>
            </w:pPr>
            <w:r w:rsidRPr="007C6688">
              <w:rPr>
                <w:rFonts w:ascii="Times New Roman" w:eastAsia="Times New Roman" w:hAnsi="Times New Roman" w:cs="Times New Roman"/>
                <w:color w:val="545454"/>
                <w:sz w:val="24"/>
                <w:szCs w:val="24"/>
              </w:rPr>
              <w:t>ONE ENVELOPE</w:t>
            </w: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color w:val="545454"/>
                <w:sz w:val="24"/>
                <w:szCs w:val="24"/>
              </w:rPr>
            </w:pPr>
            <w:r w:rsidRPr="007C6688">
              <w:rPr>
                <w:rFonts w:ascii="Times New Roman" w:eastAsia="Times New Roman" w:hAnsi="Times New Roman" w:cs="Times New Roman"/>
                <w:color w:val="545454"/>
                <w:sz w:val="24"/>
                <w:szCs w:val="24"/>
              </w:rPr>
              <w:t>1000.00</w:t>
            </w: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color w:val="545454"/>
                <w:sz w:val="24"/>
                <w:szCs w:val="24"/>
              </w:rPr>
            </w:pPr>
            <w:r w:rsidRPr="007C6688">
              <w:rPr>
                <w:rFonts w:ascii="Times New Roman" w:eastAsia="Times New Roman" w:hAnsi="Times New Roman" w:cs="Times New Roman"/>
                <w:color w:val="545454"/>
                <w:sz w:val="24"/>
                <w:szCs w:val="24"/>
              </w:rPr>
              <w:t>500</w:t>
            </w:r>
          </w:p>
        </w:tc>
        <w:tc>
          <w:tcPr>
            <w:tcW w:w="0" w:type="auto"/>
            <w:tcBorders>
              <w:bottom w:val="single" w:sz="6" w:space="0" w:color="DFDFDF"/>
            </w:tcBorders>
            <w:tcMar>
              <w:top w:w="75" w:type="dxa"/>
              <w:left w:w="75" w:type="dxa"/>
              <w:bottom w:w="75" w:type="dxa"/>
              <w:right w:w="75" w:type="dxa"/>
            </w:tcMar>
            <w:hideMark/>
          </w:tcPr>
          <w:p w:rsidR="007C6688" w:rsidRPr="007C6688" w:rsidRDefault="007C6688" w:rsidP="007C6688">
            <w:pPr>
              <w:bidi w:val="0"/>
              <w:spacing w:after="0" w:line="240" w:lineRule="auto"/>
              <w:rPr>
                <w:rFonts w:ascii="Times New Roman" w:eastAsia="Times New Roman" w:hAnsi="Times New Roman" w:cs="Times New Roman"/>
                <w:color w:val="545454"/>
                <w:sz w:val="24"/>
                <w:szCs w:val="24"/>
              </w:rPr>
            </w:pPr>
            <w:r w:rsidRPr="007C6688">
              <w:rPr>
                <w:rFonts w:ascii="Times New Roman" w:eastAsia="Times New Roman" w:hAnsi="Times New Roman" w:cs="Times New Roman"/>
                <w:color w:val="545454"/>
                <w:sz w:val="24"/>
                <w:szCs w:val="24"/>
              </w:rPr>
              <w:t>27/08/2023</w:t>
            </w:r>
          </w:p>
        </w:tc>
      </w:tr>
    </w:tbl>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b/>
          <w:bCs/>
          <w:color w:val="C00000"/>
          <w:sz w:val="21"/>
          <w:szCs w:val="21"/>
          <w:u w:val="single"/>
        </w:rPr>
        <w:t>Conditions for Entering Tenders and Auctions and Equivalents.</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b/>
          <w:bCs/>
          <w:color w:val="000000"/>
          <w:sz w:val="21"/>
          <w:szCs w:val="21"/>
        </w:rPr>
        <w:t> </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1. The tender and equivalents mean the bid for the supply of items, the provision of services, or the supply of items and the provision of services together, or contracting works through the public tender, the two-phase tender, the limited tender, the practice, or the direct agreement.</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2. Auctions and equivalents are meant to be the bid for the government authority’s sale of items, rental of real estate, areas, or movables through public auction, practice, or direct agreement.</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3. Those wishing to submit their bids may obtain the offering documents from the unified website for state procurement using their login data (</w:t>
      </w:r>
      <w:r w:rsidRPr="007C6688">
        <w:rPr>
          <w:rFonts w:ascii="Arial" w:eastAsia="Times New Roman" w:hAnsi="Arial" w:cs="Arial"/>
          <w:color w:val="C00000"/>
          <w:sz w:val="21"/>
          <w:szCs w:val="21"/>
        </w:rPr>
        <w:t>the email registered in the classification program</w:t>
      </w:r>
      <w:r w:rsidRPr="007C6688">
        <w:rPr>
          <w:rFonts w:ascii="Arial" w:eastAsia="Times New Roman" w:hAnsi="Arial" w:cs="Arial"/>
          <w:color w:val="000000"/>
          <w:sz w:val="21"/>
          <w:szCs w:val="21"/>
        </w:rPr>
        <w:t>) after paying the value of the prescribed documents by clicking on the (buy) icon.</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4. The downloaded copy of these documents belongs to the authority that purchased or downloaded them for free and may not be distributed or given to others.</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3D1466"/>
          <w:sz w:val="21"/>
          <w:szCs w:val="21"/>
        </w:rPr>
        <w:t>5. </w:t>
      </w:r>
      <w:r w:rsidRPr="007C6688">
        <w:rPr>
          <w:rFonts w:ascii="Arial" w:eastAsia="Times New Roman" w:hAnsi="Arial" w:cs="Arial"/>
          <w:color w:val="000000"/>
          <w:sz w:val="21"/>
          <w:szCs w:val="21"/>
        </w:rPr>
        <w:t>In the event that the conditions provide for the submission of an initial guarantee, a temporary security shall be attached to the bid, in the name of the government authority to the Committee, by an acceptable payable cheque (manager’s cheque) or by virtue of a bank guarantee letter issued by a local or accredaited bank, not accompanied by any restriction or condition, and valid for the entire performance, and it is irrevocable, provided that its validity period shall not be less than (120) one hundred and twenty days from the date specified for the delivery of the bid, and in 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lastRenderedPageBreak/>
        <w:t>6. The Committee may request to extend the validity of bids for a period not exceeding (10) working days.</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7. Bidders of companies shall submit a certificate of clearance from tax debts.</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 and auctions law issued by Law No. (24) of 2015, amended by Decree-Law No. (18) of 2018, and its executive regulations issued by Cabinet Resolution No. (16) of 2019 and amended by Cabinet Resolution No. (11) of 2022.</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9. Participation in the two phases tender (the second phase), or the limited tender or practice is limited to companies that have received an invitation to participate from the unified website for state procurement.</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10. If the terms of the bid allow the participation of individuals, they must register on the unified website for state procurement before purchasing or uploading the bid documents.</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11. Submitting bids shall be made by the bidder who purchased the documents through the unified website for state procurement, and the person who purchased them may not request to allow another party affiliated with it or not to submit the bid in its place.</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lowest financial result, after calculating the percentage of the local value submitted by the bidders, in accordance with the following formula: [Total Bid Price x (1-ICV%) = Financial Outcome].</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for the desired item to be awarded according to the following equation: [Total price of the item x (1-ICV%) = financial outcome], without prejudice to the specifications and the interdependence of the divided materials.</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14. The award in auctions and the like shall be for the best accepted bid that submitted the highest price that meets the conditions, provided that it is not less than the basic value specified by the competent authority.</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18. In the event of abstention from submitting the final guarantee on the scheduled dates, or failure to appear to sign the contract on the specified date, and failure to pay the full value of the items or the due 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Auctions Law promulgated by Law No. (24) of 2015, as amended by Decree-Law No. (18) of 2018, and its executive regulations issued by Cabinet Resolution No. (16) of 2019 and amended by Cabinet Resolution No. (11) for the year 2022.</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20. The local value system mentioned in the announcement or invitation shall be adhered to, as determined by the government authority, whether by submitting a local value certificate or a local value plan, and the bidder who violates the local value system in this case shall be awarded zero percent.</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 </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b/>
          <w:bCs/>
          <w:color w:val="C00000"/>
          <w:sz w:val="21"/>
          <w:szCs w:val="21"/>
        </w:rPr>
        <w:t>Submission of Bids</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2. Bids are prepared electronically in a compressed, locked, non-modifiable (PDF) file format, in a way that does not affect the quality of the bid, and using the latest version of the software to ensure that the bidder shall not encounter technical problems during the upload.</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3. The electronic bids are uploaded by entering the purchased bids page in the bidder's account on the unified state procurement website.</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5. The committee may, before the closing date and time, and in accordance with the requirements of the public interest, amend the period specified for submitting bids by extending in increase and amending the closing date.</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7. The bidding period starts from the first day of announcing the bid or sending the invitation, as the case may be,until the closing date and time specified in the announcement or invitation published on the unified website for state procurement on this page.</w:t>
      </w:r>
      <w:r w:rsidRPr="007C6688">
        <w:rPr>
          <w:rFonts w:ascii="Arial" w:eastAsia="Times New Roman" w:hAnsi="Arial" w:cs="Arial"/>
          <w:b/>
          <w:bCs/>
          <w:color w:val="C00000"/>
          <w:sz w:val="21"/>
          <w:szCs w:val="21"/>
        </w:rPr>
        <w:t>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8. If the bidder encounters any technical problems during the submission of bids, kindly contact the technical support directly at the e-mail monaqasat@mof.gov.qa, in order to receive the appropriate technical support, during the official working hours.</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9. The </w:t>
      </w:r>
      <w:r w:rsidRPr="007C6688">
        <w:rPr>
          <w:rFonts w:ascii="Arial" w:eastAsia="Times New Roman" w:hAnsi="Arial" w:cs="Arial"/>
          <w:b/>
          <w:bCs/>
          <w:color w:val="000000"/>
          <w:sz w:val="21"/>
          <w:szCs w:val="21"/>
        </w:rPr>
        <w:t>government authority or the Ministry of Finance</w:t>
      </w:r>
      <w:r w:rsidRPr="007C6688">
        <w:rPr>
          <w:rFonts w:ascii="Arial" w:eastAsia="Times New Roman" w:hAnsi="Arial" w:cs="Arial"/>
          <w:color w:val="000000"/>
          <w:sz w:val="21"/>
          <w:szCs w:val="21"/>
        </w:rPr>
        <w:t>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 </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b/>
          <w:bCs/>
          <w:color w:val="C00000"/>
          <w:sz w:val="21"/>
          <w:szCs w:val="21"/>
        </w:rPr>
        <w:t>Submission of Inquiries </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1. Inquiries related to the implementation of the required works and their conditions mentioned in the offering documents shall be submitted to the competent department of the government authority, within the period specified by the [concerned department] in the documents, or a maximum of two working days prior to the closing date if not specified in the offering documents.</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r w:rsidRPr="007C6688">
        <w:rPr>
          <w:rFonts w:ascii="Arial" w:eastAsia="Times New Roman" w:hAnsi="Arial" w:cs="Arial"/>
          <w:color w:val="000000"/>
          <w:sz w:val="21"/>
          <w:szCs w:val="21"/>
        </w:rPr>
        <w:t> </w:t>
      </w:r>
    </w:p>
    <w:p w:rsidR="007C6688" w:rsidRPr="007C6688" w:rsidRDefault="007C6688" w:rsidP="007C6688">
      <w:pPr>
        <w:bidi w:val="0"/>
        <w:spacing w:before="100" w:beforeAutospacing="1" w:after="100" w:afterAutospacing="1" w:line="240" w:lineRule="auto"/>
        <w:rPr>
          <w:rFonts w:ascii="Arial" w:eastAsia="Times New Roman" w:hAnsi="Arial" w:cs="Arial"/>
          <w:color w:val="000000"/>
          <w:sz w:val="21"/>
          <w:szCs w:val="21"/>
        </w:rPr>
      </w:pPr>
    </w:p>
    <w:p w:rsidR="007C6688" w:rsidRPr="007C6688" w:rsidRDefault="007C6688" w:rsidP="007C6688">
      <w:pPr>
        <w:bidi w:val="0"/>
        <w:spacing w:after="0" w:line="240" w:lineRule="auto"/>
        <w:rPr>
          <w:rFonts w:ascii="Times New Roman" w:eastAsia="Times New Roman" w:hAnsi="Times New Roman" w:cs="Times New Roman"/>
          <w:sz w:val="24"/>
          <w:szCs w:val="24"/>
        </w:rPr>
      </w:pPr>
    </w:p>
    <w:p w:rsidR="007C6688" w:rsidRPr="007C6688" w:rsidRDefault="007C6688" w:rsidP="007C6688">
      <w:pPr>
        <w:bidi w:val="0"/>
        <w:spacing w:after="0" w:line="240" w:lineRule="auto"/>
        <w:rPr>
          <w:rFonts w:ascii="Arial" w:eastAsia="Times New Roman" w:hAnsi="Arial" w:cs="Arial"/>
          <w:color w:val="000000"/>
          <w:sz w:val="21"/>
          <w:szCs w:val="21"/>
        </w:rPr>
      </w:pPr>
      <w:r w:rsidRPr="007C6688">
        <w:rPr>
          <w:rFonts w:ascii="Arial" w:eastAsia="Times New Roman" w:hAnsi="Arial" w:cs="Arial"/>
          <w:b/>
          <w:bCs/>
          <w:color w:val="000000"/>
          <w:sz w:val="21"/>
          <w:szCs w:val="21"/>
        </w:rPr>
        <w:t>Site: </w:t>
      </w:r>
      <w:r w:rsidRPr="007C6688">
        <w:rPr>
          <w:rFonts w:ascii="Arial" w:eastAsia="Times New Roman" w:hAnsi="Arial" w:cs="Arial"/>
          <w:color w:val="000000"/>
          <w:sz w:val="21"/>
          <w:szCs w:val="21"/>
          <w:rtl/>
        </w:rPr>
        <w:t>منطقة الدفنة- مبنى رقم (49) شارع رقم (920) منطقة (63) -مقابل فندق ازدان بوابة رقم (5</w:t>
      </w:r>
      <w:r w:rsidRPr="007C6688">
        <w:rPr>
          <w:rFonts w:ascii="Arial" w:eastAsia="Times New Roman" w:hAnsi="Arial" w:cs="Arial"/>
          <w:color w:val="000000"/>
          <w:sz w:val="21"/>
          <w:szCs w:val="21"/>
        </w:rPr>
        <w:t>)</w:t>
      </w:r>
    </w:p>
    <w:p w:rsidR="007C6688" w:rsidRPr="007C6688" w:rsidRDefault="007C6688" w:rsidP="007C6688">
      <w:pPr>
        <w:bidi w:val="0"/>
        <w:spacing w:after="0" w:line="240" w:lineRule="auto"/>
        <w:rPr>
          <w:rFonts w:ascii="Arial" w:eastAsia="Times New Roman" w:hAnsi="Arial" w:cs="Arial"/>
          <w:color w:val="000000"/>
          <w:sz w:val="21"/>
          <w:szCs w:val="21"/>
        </w:rPr>
      </w:pPr>
    </w:p>
    <w:p w:rsidR="007C6688" w:rsidRPr="007C6688" w:rsidRDefault="007C6688" w:rsidP="007C6688">
      <w:pPr>
        <w:bidi w:val="0"/>
        <w:spacing w:after="0" w:line="240" w:lineRule="auto"/>
        <w:rPr>
          <w:rFonts w:ascii="Arial" w:eastAsia="Times New Roman" w:hAnsi="Arial" w:cs="Arial"/>
          <w:color w:val="000000"/>
          <w:sz w:val="21"/>
          <w:szCs w:val="21"/>
        </w:rPr>
      </w:pPr>
      <w:r w:rsidRPr="007C6688">
        <w:rPr>
          <w:rFonts w:ascii="Arial" w:eastAsia="Times New Roman" w:hAnsi="Arial" w:cs="Arial"/>
          <w:b/>
          <w:bCs/>
          <w:color w:val="000000"/>
          <w:sz w:val="21"/>
          <w:szCs w:val="21"/>
        </w:rPr>
        <w:t>Phones: </w:t>
      </w:r>
      <w:r w:rsidRPr="007C6688">
        <w:rPr>
          <w:rFonts w:ascii="Arial" w:eastAsia="Times New Roman" w:hAnsi="Arial" w:cs="Arial"/>
          <w:color w:val="000000"/>
          <w:sz w:val="21"/>
          <w:szCs w:val="21"/>
        </w:rPr>
        <w:t>44457101-44457354</w:t>
      </w:r>
    </w:p>
    <w:p w:rsidR="007C6688" w:rsidRPr="007C6688" w:rsidRDefault="007C6688" w:rsidP="007C6688">
      <w:pPr>
        <w:bidi w:val="0"/>
        <w:spacing w:after="0" w:line="240" w:lineRule="auto"/>
        <w:rPr>
          <w:rFonts w:ascii="Arial" w:eastAsia="Times New Roman" w:hAnsi="Arial" w:cs="Arial"/>
          <w:color w:val="000000"/>
          <w:sz w:val="21"/>
          <w:szCs w:val="21"/>
        </w:rPr>
      </w:pPr>
    </w:p>
    <w:p w:rsidR="007C6688" w:rsidRPr="007C6688" w:rsidRDefault="007C6688" w:rsidP="007C6688">
      <w:pPr>
        <w:bidi w:val="0"/>
        <w:spacing w:after="0" w:line="240" w:lineRule="auto"/>
        <w:rPr>
          <w:rFonts w:ascii="Arial" w:eastAsia="Times New Roman" w:hAnsi="Arial" w:cs="Arial"/>
          <w:color w:val="000000"/>
          <w:sz w:val="21"/>
          <w:szCs w:val="21"/>
        </w:rPr>
      </w:pPr>
      <w:r w:rsidRPr="007C6688">
        <w:rPr>
          <w:rFonts w:ascii="Arial" w:eastAsia="Times New Roman" w:hAnsi="Arial" w:cs="Arial"/>
          <w:b/>
          <w:bCs/>
          <w:color w:val="000000"/>
          <w:sz w:val="21"/>
          <w:szCs w:val="21"/>
        </w:rPr>
        <w:t>Email: </w:t>
      </w:r>
      <w:r w:rsidRPr="007C6688">
        <w:rPr>
          <w:rFonts w:ascii="Arial" w:eastAsia="Times New Roman" w:hAnsi="Arial" w:cs="Arial"/>
          <w:color w:val="000000"/>
          <w:sz w:val="21"/>
          <w:szCs w:val="21"/>
        </w:rPr>
        <w:t>procurement@customs.gov.qa</w:t>
      </w:r>
    </w:p>
    <w:p w:rsidR="002C6818" w:rsidRDefault="002C6818">
      <w:bookmarkStart w:id="0" w:name="_GoBack"/>
      <w:bookmarkEnd w:id="0"/>
    </w:p>
    <w:sectPr w:rsidR="002C6818"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88"/>
    <w:rsid w:val="002C6818"/>
    <w:rsid w:val="00657E99"/>
    <w:rsid w:val="007C6688"/>
    <w:rsid w:val="00C07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DDA5E-A0E4-4F76-9AB1-1DB8EF71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05802">
      <w:bodyDiv w:val="1"/>
      <w:marLeft w:val="0"/>
      <w:marRight w:val="0"/>
      <w:marTop w:val="0"/>
      <w:marBottom w:val="0"/>
      <w:divBdr>
        <w:top w:val="none" w:sz="0" w:space="0" w:color="auto"/>
        <w:left w:val="none" w:sz="0" w:space="0" w:color="auto"/>
        <w:bottom w:val="none" w:sz="0" w:space="0" w:color="auto"/>
        <w:right w:val="none" w:sz="0" w:space="0" w:color="auto"/>
      </w:divBdr>
      <w:divsChild>
        <w:div w:id="1313365351">
          <w:marLeft w:val="0"/>
          <w:marRight w:val="0"/>
          <w:marTop w:val="0"/>
          <w:marBottom w:val="0"/>
          <w:divBdr>
            <w:top w:val="none" w:sz="0" w:space="0" w:color="auto"/>
            <w:left w:val="none" w:sz="0" w:space="0" w:color="auto"/>
            <w:bottom w:val="none" w:sz="0" w:space="0" w:color="auto"/>
            <w:right w:val="none" w:sz="0" w:space="0" w:color="auto"/>
          </w:divBdr>
        </w:div>
        <w:div w:id="268318037">
          <w:marLeft w:val="0"/>
          <w:marRight w:val="0"/>
          <w:marTop w:val="0"/>
          <w:marBottom w:val="0"/>
          <w:divBdr>
            <w:top w:val="none" w:sz="0" w:space="0" w:color="auto"/>
            <w:left w:val="none" w:sz="0" w:space="0" w:color="auto"/>
            <w:bottom w:val="none" w:sz="0" w:space="0" w:color="auto"/>
            <w:right w:val="none" w:sz="0" w:space="0" w:color="auto"/>
          </w:divBdr>
          <w:divsChild>
            <w:div w:id="1189100797">
              <w:marLeft w:val="0"/>
              <w:marRight w:val="0"/>
              <w:marTop w:val="0"/>
              <w:marBottom w:val="0"/>
              <w:divBdr>
                <w:top w:val="none" w:sz="0" w:space="0" w:color="auto"/>
                <w:left w:val="none" w:sz="0" w:space="0" w:color="auto"/>
                <w:bottom w:val="none" w:sz="0" w:space="0" w:color="auto"/>
                <w:right w:val="none" w:sz="0" w:space="0" w:color="auto"/>
              </w:divBdr>
              <w:divsChild>
                <w:div w:id="1294483209">
                  <w:marLeft w:val="0"/>
                  <w:marRight w:val="0"/>
                  <w:marTop w:val="0"/>
                  <w:marBottom w:val="0"/>
                  <w:divBdr>
                    <w:top w:val="none" w:sz="0" w:space="0" w:color="auto"/>
                    <w:left w:val="none" w:sz="0" w:space="0" w:color="auto"/>
                    <w:bottom w:val="none" w:sz="0" w:space="0" w:color="auto"/>
                    <w:right w:val="none" w:sz="0" w:space="0" w:color="auto"/>
                  </w:divBdr>
                </w:div>
              </w:divsChild>
            </w:div>
            <w:div w:id="505367412">
              <w:marLeft w:val="0"/>
              <w:marRight w:val="0"/>
              <w:marTop w:val="0"/>
              <w:marBottom w:val="0"/>
              <w:divBdr>
                <w:top w:val="none" w:sz="0" w:space="0" w:color="auto"/>
                <w:left w:val="none" w:sz="0" w:space="0" w:color="auto"/>
                <w:bottom w:val="none" w:sz="0" w:space="0" w:color="auto"/>
                <w:right w:val="none" w:sz="0" w:space="0" w:color="auto"/>
              </w:divBdr>
              <w:divsChild>
                <w:div w:id="1357077257">
                  <w:marLeft w:val="0"/>
                  <w:marRight w:val="0"/>
                  <w:marTop w:val="0"/>
                  <w:marBottom w:val="0"/>
                  <w:divBdr>
                    <w:top w:val="none" w:sz="0" w:space="0" w:color="auto"/>
                    <w:left w:val="none" w:sz="0" w:space="0" w:color="auto"/>
                    <w:bottom w:val="none" w:sz="0" w:space="0" w:color="auto"/>
                    <w:right w:val="none" w:sz="0" w:space="0" w:color="auto"/>
                  </w:divBdr>
                </w:div>
              </w:divsChild>
            </w:div>
            <w:div w:id="1696880239">
              <w:marLeft w:val="0"/>
              <w:marRight w:val="0"/>
              <w:marTop w:val="0"/>
              <w:marBottom w:val="0"/>
              <w:divBdr>
                <w:top w:val="none" w:sz="0" w:space="0" w:color="auto"/>
                <w:left w:val="none" w:sz="0" w:space="0" w:color="auto"/>
                <w:bottom w:val="none" w:sz="0" w:space="0" w:color="auto"/>
                <w:right w:val="none" w:sz="0" w:space="0" w:color="auto"/>
              </w:divBdr>
              <w:divsChild>
                <w:div w:id="9377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aqasat.mof.gov.qa/pages/tenderdetails.aspx?num=598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1824</Words>
  <Characters>10398</Characters>
  <Application>Microsoft Office Word</Application>
  <DocSecurity>0</DocSecurity>
  <Lines>86</Lines>
  <Paragraphs>24</Paragraphs>
  <ScaleCrop>false</ScaleCrop>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2023-08-07T09:28:00Z</dcterms:created>
  <dcterms:modified xsi:type="dcterms:W3CDTF">2023-08-07T09:28:00Z</dcterms:modified>
</cp:coreProperties>
</file>