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22"/>
        <w:gridCol w:w="2515"/>
      </w:tblGrid>
      <w:tr w:rsidR="003F7233" w:rsidRPr="003F7233" w:rsidTr="003F7233">
        <w:trPr>
          <w:tblCellSpacing w:w="15" w:type="dxa"/>
        </w:trPr>
        <w:tc>
          <w:tcPr>
            <w:tcW w:w="0" w:type="auto"/>
            <w:vAlign w:val="center"/>
            <w:hideMark/>
          </w:tcPr>
          <w:p w:rsidR="003F7233" w:rsidRPr="003F7233" w:rsidRDefault="003F7233" w:rsidP="003F7233">
            <w:pPr>
              <w:bidi w:val="0"/>
              <w:spacing w:after="0" w:line="240" w:lineRule="auto"/>
              <w:jc w:val="center"/>
              <w:rPr>
                <w:rFonts w:ascii="Times New Roman" w:eastAsia="Times New Roman" w:hAnsi="Times New Roman" w:cs="Times New Roman"/>
                <w:b/>
                <w:bCs/>
                <w:sz w:val="24"/>
                <w:szCs w:val="24"/>
              </w:rPr>
            </w:pPr>
            <w:r w:rsidRPr="003F7233">
              <w:rPr>
                <w:rFonts w:ascii="Times New Roman" w:eastAsia="Times New Roman" w:hAnsi="Times New Roman" w:cs="Times New Roman"/>
                <w:b/>
                <w:bCs/>
                <w:sz w:val="24"/>
                <w:szCs w:val="24"/>
              </w:rPr>
              <w:t>Tender No.</w:t>
            </w:r>
          </w:p>
        </w:tc>
        <w:tc>
          <w:tcPr>
            <w:tcW w:w="0" w:type="auto"/>
            <w:vAlign w:val="center"/>
            <w:hideMark/>
          </w:tcPr>
          <w:p w:rsidR="003F7233" w:rsidRPr="003F7233" w:rsidRDefault="003F7233" w:rsidP="003F7233">
            <w:pPr>
              <w:bidi w:val="0"/>
              <w:spacing w:after="0" w:line="240" w:lineRule="auto"/>
              <w:rPr>
                <w:rFonts w:ascii="Times New Roman" w:eastAsia="Times New Roman" w:hAnsi="Times New Roman" w:cs="Times New Roman"/>
                <w:sz w:val="24"/>
                <w:szCs w:val="24"/>
              </w:rPr>
            </w:pPr>
            <w:hyperlink r:id="rId4" w:history="1">
              <w:r w:rsidRPr="003F7233">
                <w:rPr>
                  <w:rFonts w:ascii="Times New Roman" w:eastAsia="Times New Roman" w:hAnsi="Times New Roman" w:cs="Times New Roman"/>
                  <w:color w:val="0000FF"/>
                  <w:sz w:val="24"/>
                  <w:szCs w:val="24"/>
                  <w:u w:val="single"/>
                </w:rPr>
                <w:t>1046/2024</w:t>
              </w:r>
            </w:hyperlink>
          </w:p>
        </w:tc>
      </w:tr>
      <w:tr w:rsidR="003F7233" w:rsidRPr="003F7233" w:rsidTr="003F7233">
        <w:trPr>
          <w:tblCellSpacing w:w="15" w:type="dxa"/>
        </w:trPr>
        <w:tc>
          <w:tcPr>
            <w:tcW w:w="0" w:type="auto"/>
            <w:vAlign w:val="center"/>
            <w:hideMark/>
          </w:tcPr>
          <w:p w:rsidR="003F7233" w:rsidRPr="003F7233" w:rsidRDefault="003F7233" w:rsidP="003F7233">
            <w:pPr>
              <w:bidi w:val="0"/>
              <w:spacing w:after="0" w:line="240" w:lineRule="auto"/>
              <w:jc w:val="center"/>
              <w:rPr>
                <w:rFonts w:ascii="Times New Roman" w:eastAsia="Times New Roman" w:hAnsi="Times New Roman" w:cs="Times New Roman"/>
                <w:b/>
                <w:bCs/>
                <w:sz w:val="24"/>
                <w:szCs w:val="24"/>
              </w:rPr>
            </w:pPr>
            <w:r w:rsidRPr="003F7233">
              <w:rPr>
                <w:rFonts w:ascii="Times New Roman" w:eastAsia="Times New Roman" w:hAnsi="Times New Roman" w:cs="Times New Roman"/>
                <w:b/>
                <w:bCs/>
                <w:sz w:val="24"/>
                <w:szCs w:val="24"/>
              </w:rPr>
              <w:t>Subject</w:t>
            </w:r>
          </w:p>
        </w:tc>
        <w:tc>
          <w:tcPr>
            <w:tcW w:w="0" w:type="auto"/>
            <w:vAlign w:val="center"/>
            <w:hideMark/>
          </w:tcPr>
          <w:p w:rsidR="003F7233" w:rsidRPr="003F7233" w:rsidRDefault="003F7233" w:rsidP="003F7233">
            <w:pPr>
              <w:bidi w:val="0"/>
              <w:spacing w:after="0"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sz w:val="24"/>
                <w:szCs w:val="24"/>
              </w:rPr>
              <w:t>Supply Security Guide</w:t>
            </w:r>
          </w:p>
        </w:tc>
      </w:tr>
      <w:tr w:rsidR="003F7233" w:rsidRPr="003F7233" w:rsidTr="003F7233">
        <w:trPr>
          <w:tblCellSpacing w:w="15" w:type="dxa"/>
        </w:trPr>
        <w:tc>
          <w:tcPr>
            <w:tcW w:w="0" w:type="auto"/>
            <w:vAlign w:val="center"/>
            <w:hideMark/>
          </w:tcPr>
          <w:p w:rsidR="003F7233" w:rsidRPr="003F7233" w:rsidRDefault="003F7233" w:rsidP="003F7233">
            <w:pPr>
              <w:bidi w:val="0"/>
              <w:spacing w:after="0" w:line="240" w:lineRule="auto"/>
              <w:jc w:val="center"/>
              <w:rPr>
                <w:rFonts w:ascii="Times New Roman" w:eastAsia="Times New Roman" w:hAnsi="Times New Roman" w:cs="Times New Roman"/>
                <w:b/>
                <w:bCs/>
                <w:sz w:val="24"/>
                <w:szCs w:val="24"/>
              </w:rPr>
            </w:pPr>
            <w:r w:rsidRPr="003F7233">
              <w:rPr>
                <w:rFonts w:ascii="Times New Roman" w:eastAsia="Times New Roman" w:hAnsi="Times New Roman" w:cs="Times New Roman"/>
                <w:b/>
                <w:bCs/>
                <w:sz w:val="24"/>
                <w:szCs w:val="24"/>
              </w:rPr>
              <w:t>Announced Date</w:t>
            </w:r>
          </w:p>
        </w:tc>
        <w:tc>
          <w:tcPr>
            <w:tcW w:w="0" w:type="auto"/>
            <w:vAlign w:val="center"/>
            <w:hideMark/>
          </w:tcPr>
          <w:p w:rsidR="003F7233" w:rsidRPr="003F7233" w:rsidRDefault="003F7233" w:rsidP="003F7233">
            <w:pPr>
              <w:bidi w:val="0"/>
              <w:spacing w:after="0"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sz w:val="24"/>
                <w:szCs w:val="24"/>
              </w:rPr>
              <w:t>14/03/2024</w:t>
            </w:r>
          </w:p>
        </w:tc>
      </w:tr>
      <w:tr w:rsidR="003F7233" w:rsidRPr="003F7233" w:rsidTr="003F7233">
        <w:trPr>
          <w:tblCellSpacing w:w="15" w:type="dxa"/>
        </w:trPr>
        <w:tc>
          <w:tcPr>
            <w:tcW w:w="0" w:type="auto"/>
            <w:vAlign w:val="center"/>
            <w:hideMark/>
          </w:tcPr>
          <w:p w:rsidR="003F7233" w:rsidRPr="003F7233" w:rsidRDefault="003F7233" w:rsidP="003F7233">
            <w:pPr>
              <w:bidi w:val="0"/>
              <w:spacing w:after="0" w:line="240" w:lineRule="auto"/>
              <w:jc w:val="center"/>
              <w:rPr>
                <w:rFonts w:ascii="Times New Roman" w:eastAsia="Times New Roman" w:hAnsi="Times New Roman" w:cs="Times New Roman"/>
                <w:b/>
                <w:bCs/>
                <w:sz w:val="24"/>
                <w:szCs w:val="24"/>
              </w:rPr>
            </w:pPr>
            <w:r w:rsidRPr="003F7233">
              <w:rPr>
                <w:rFonts w:ascii="Times New Roman" w:eastAsia="Times New Roman" w:hAnsi="Times New Roman" w:cs="Times New Roman"/>
                <w:b/>
                <w:bCs/>
                <w:sz w:val="24"/>
                <w:szCs w:val="24"/>
              </w:rPr>
              <w:t>Request Types</w:t>
            </w:r>
          </w:p>
        </w:tc>
        <w:tc>
          <w:tcPr>
            <w:tcW w:w="0" w:type="auto"/>
            <w:vAlign w:val="center"/>
            <w:hideMark/>
          </w:tcPr>
          <w:p w:rsidR="003F7233" w:rsidRPr="003F7233" w:rsidRDefault="003F7233" w:rsidP="003F7233">
            <w:pPr>
              <w:bidi w:val="0"/>
              <w:spacing w:after="0"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sz w:val="24"/>
                <w:szCs w:val="24"/>
              </w:rPr>
              <w:t>Service Providers</w:t>
            </w:r>
          </w:p>
        </w:tc>
      </w:tr>
      <w:tr w:rsidR="003F7233" w:rsidRPr="003F7233" w:rsidTr="003F7233">
        <w:trPr>
          <w:tblCellSpacing w:w="15" w:type="dxa"/>
        </w:trPr>
        <w:tc>
          <w:tcPr>
            <w:tcW w:w="0" w:type="auto"/>
            <w:vAlign w:val="center"/>
            <w:hideMark/>
          </w:tcPr>
          <w:p w:rsidR="003F7233" w:rsidRPr="003F7233" w:rsidRDefault="003F7233" w:rsidP="003F7233">
            <w:pPr>
              <w:bidi w:val="0"/>
              <w:spacing w:after="0" w:line="240" w:lineRule="auto"/>
              <w:jc w:val="center"/>
              <w:rPr>
                <w:rFonts w:ascii="Times New Roman" w:eastAsia="Times New Roman" w:hAnsi="Times New Roman" w:cs="Times New Roman"/>
                <w:b/>
                <w:bCs/>
                <w:sz w:val="24"/>
                <w:szCs w:val="24"/>
              </w:rPr>
            </w:pPr>
            <w:r w:rsidRPr="003F7233">
              <w:rPr>
                <w:rFonts w:ascii="Times New Roman" w:eastAsia="Times New Roman" w:hAnsi="Times New Roman" w:cs="Times New Roman"/>
                <w:b/>
                <w:bCs/>
                <w:sz w:val="24"/>
                <w:szCs w:val="24"/>
              </w:rPr>
              <w:t>Tender Bond (QR)</w:t>
            </w:r>
          </w:p>
        </w:tc>
        <w:tc>
          <w:tcPr>
            <w:tcW w:w="0" w:type="auto"/>
            <w:vAlign w:val="center"/>
            <w:hideMark/>
          </w:tcPr>
          <w:p w:rsidR="003F7233" w:rsidRPr="003F7233" w:rsidRDefault="003F7233" w:rsidP="003F7233">
            <w:pPr>
              <w:bidi w:val="0"/>
              <w:spacing w:after="0"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sz w:val="24"/>
                <w:szCs w:val="24"/>
              </w:rPr>
              <w:t>12000.00</w:t>
            </w:r>
          </w:p>
        </w:tc>
      </w:tr>
      <w:tr w:rsidR="003F7233" w:rsidRPr="003F7233" w:rsidTr="003F7233">
        <w:trPr>
          <w:tblCellSpacing w:w="15" w:type="dxa"/>
        </w:trPr>
        <w:tc>
          <w:tcPr>
            <w:tcW w:w="0" w:type="auto"/>
            <w:vAlign w:val="center"/>
            <w:hideMark/>
          </w:tcPr>
          <w:p w:rsidR="003F7233" w:rsidRPr="003F7233" w:rsidRDefault="003F7233" w:rsidP="003F7233">
            <w:pPr>
              <w:bidi w:val="0"/>
              <w:spacing w:after="0" w:line="240" w:lineRule="auto"/>
              <w:jc w:val="center"/>
              <w:rPr>
                <w:rFonts w:ascii="Times New Roman" w:eastAsia="Times New Roman" w:hAnsi="Times New Roman" w:cs="Times New Roman"/>
                <w:b/>
                <w:bCs/>
                <w:sz w:val="24"/>
                <w:szCs w:val="24"/>
              </w:rPr>
            </w:pPr>
            <w:r w:rsidRPr="003F7233">
              <w:rPr>
                <w:rFonts w:ascii="Times New Roman" w:eastAsia="Times New Roman" w:hAnsi="Times New Roman" w:cs="Times New Roman"/>
                <w:b/>
                <w:bCs/>
                <w:sz w:val="24"/>
                <w:szCs w:val="24"/>
              </w:rPr>
              <w:t>Documents Value (Q.R)</w:t>
            </w:r>
          </w:p>
        </w:tc>
        <w:tc>
          <w:tcPr>
            <w:tcW w:w="0" w:type="auto"/>
            <w:vAlign w:val="center"/>
            <w:hideMark/>
          </w:tcPr>
          <w:p w:rsidR="003F7233" w:rsidRPr="003F7233" w:rsidRDefault="003F7233" w:rsidP="003F7233">
            <w:pPr>
              <w:bidi w:val="0"/>
              <w:spacing w:after="0"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sz w:val="24"/>
                <w:szCs w:val="24"/>
              </w:rPr>
              <w:t>500</w:t>
            </w:r>
          </w:p>
        </w:tc>
      </w:tr>
      <w:tr w:rsidR="003F7233" w:rsidRPr="003F7233" w:rsidTr="003F7233">
        <w:trPr>
          <w:tblCellSpacing w:w="15" w:type="dxa"/>
        </w:trPr>
        <w:tc>
          <w:tcPr>
            <w:tcW w:w="0" w:type="auto"/>
            <w:vAlign w:val="center"/>
            <w:hideMark/>
          </w:tcPr>
          <w:p w:rsidR="003F7233" w:rsidRPr="003F7233" w:rsidRDefault="003F7233" w:rsidP="003F7233">
            <w:pPr>
              <w:bidi w:val="0"/>
              <w:spacing w:after="0" w:line="240" w:lineRule="auto"/>
              <w:jc w:val="center"/>
              <w:rPr>
                <w:rFonts w:ascii="Times New Roman" w:eastAsia="Times New Roman" w:hAnsi="Times New Roman" w:cs="Times New Roman"/>
                <w:b/>
                <w:bCs/>
                <w:sz w:val="24"/>
                <w:szCs w:val="24"/>
              </w:rPr>
            </w:pPr>
            <w:r w:rsidRPr="003F7233">
              <w:rPr>
                <w:rFonts w:ascii="Times New Roman" w:eastAsia="Times New Roman" w:hAnsi="Times New Roman" w:cs="Times New Roman"/>
                <w:b/>
                <w:bCs/>
                <w:sz w:val="24"/>
                <w:szCs w:val="24"/>
              </w:rPr>
              <w:t>Ministry</w:t>
            </w:r>
          </w:p>
        </w:tc>
        <w:tc>
          <w:tcPr>
            <w:tcW w:w="0" w:type="auto"/>
            <w:vAlign w:val="center"/>
            <w:hideMark/>
          </w:tcPr>
          <w:p w:rsidR="003F7233" w:rsidRPr="003F7233" w:rsidRDefault="003F7233" w:rsidP="003F7233">
            <w:pPr>
              <w:bidi w:val="0"/>
              <w:spacing w:after="0"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sz w:val="24"/>
                <w:szCs w:val="24"/>
              </w:rPr>
              <w:t>Hejen Racing Committee</w:t>
            </w:r>
          </w:p>
        </w:tc>
      </w:tr>
      <w:tr w:rsidR="003F7233" w:rsidRPr="003F7233" w:rsidTr="003F7233">
        <w:trPr>
          <w:tblCellSpacing w:w="15" w:type="dxa"/>
        </w:trPr>
        <w:tc>
          <w:tcPr>
            <w:tcW w:w="0" w:type="auto"/>
            <w:vAlign w:val="center"/>
            <w:hideMark/>
          </w:tcPr>
          <w:p w:rsidR="003F7233" w:rsidRPr="003F7233" w:rsidRDefault="003F7233" w:rsidP="003F7233">
            <w:pPr>
              <w:bidi w:val="0"/>
              <w:spacing w:after="0" w:line="240" w:lineRule="auto"/>
              <w:jc w:val="center"/>
              <w:rPr>
                <w:rFonts w:ascii="Times New Roman" w:eastAsia="Times New Roman" w:hAnsi="Times New Roman" w:cs="Times New Roman"/>
                <w:b/>
                <w:bCs/>
                <w:sz w:val="24"/>
                <w:szCs w:val="24"/>
              </w:rPr>
            </w:pPr>
            <w:r w:rsidRPr="003F7233">
              <w:rPr>
                <w:rFonts w:ascii="Times New Roman" w:eastAsia="Times New Roman" w:hAnsi="Times New Roman" w:cs="Times New Roman"/>
                <w:b/>
                <w:bCs/>
                <w:sz w:val="24"/>
                <w:szCs w:val="24"/>
              </w:rPr>
              <w:t>Type</w:t>
            </w:r>
          </w:p>
        </w:tc>
        <w:tc>
          <w:tcPr>
            <w:tcW w:w="0" w:type="auto"/>
            <w:vAlign w:val="center"/>
            <w:hideMark/>
          </w:tcPr>
          <w:p w:rsidR="003F7233" w:rsidRPr="003F7233" w:rsidRDefault="003F7233" w:rsidP="003F7233">
            <w:pPr>
              <w:bidi w:val="0"/>
              <w:spacing w:after="0"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sz w:val="24"/>
                <w:szCs w:val="24"/>
              </w:rPr>
              <w:t>Public Tender</w:t>
            </w:r>
          </w:p>
        </w:tc>
      </w:tr>
      <w:tr w:rsidR="003F7233" w:rsidRPr="003F7233" w:rsidTr="003F7233">
        <w:trPr>
          <w:tblCellSpacing w:w="15" w:type="dxa"/>
        </w:trPr>
        <w:tc>
          <w:tcPr>
            <w:tcW w:w="0" w:type="auto"/>
            <w:vAlign w:val="center"/>
            <w:hideMark/>
          </w:tcPr>
          <w:p w:rsidR="003F7233" w:rsidRPr="003F7233" w:rsidRDefault="003F7233" w:rsidP="003F7233">
            <w:pPr>
              <w:bidi w:val="0"/>
              <w:spacing w:after="0" w:line="240" w:lineRule="auto"/>
              <w:jc w:val="center"/>
              <w:rPr>
                <w:rFonts w:ascii="Times New Roman" w:eastAsia="Times New Roman" w:hAnsi="Times New Roman" w:cs="Times New Roman"/>
                <w:b/>
                <w:bCs/>
                <w:sz w:val="24"/>
                <w:szCs w:val="24"/>
              </w:rPr>
            </w:pPr>
            <w:r w:rsidRPr="003F7233">
              <w:rPr>
                <w:rFonts w:ascii="Times New Roman" w:eastAsia="Times New Roman" w:hAnsi="Times New Roman" w:cs="Times New Roman"/>
                <w:b/>
                <w:bCs/>
                <w:sz w:val="24"/>
                <w:szCs w:val="24"/>
              </w:rPr>
              <w:t>Closing Date</w:t>
            </w:r>
          </w:p>
        </w:tc>
        <w:tc>
          <w:tcPr>
            <w:tcW w:w="0" w:type="auto"/>
            <w:vAlign w:val="center"/>
            <w:hideMark/>
          </w:tcPr>
          <w:p w:rsidR="003F7233" w:rsidRPr="003F7233" w:rsidRDefault="003F7233" w:rsidP="003F7233">
            <w:pPr>
              <w:bidi w:val="0"/>
              <w:spacing w:after="0"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sz w:val="24"/>
                <w:szCs w:val="24"/>
              </w:rPr>
              <w:t>27/03/2024</w:t>
            </w:r>
          </w:p>
        </w:tc>
      </w:tr>
    </w:tbl>
    <w:p w:rsidR="003F7233" w:rsidRPr="003F7233" w:rsidRDefault="003F7233" w:rsidP="003F7233">
      <w:pPr>
        <w:bidi w:val="0"/>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685"/>
        <w:gridCol w:w="758"/>
        <w:gridCol w:w="1061"/>
        <w:gridCol w:w="1143"/>
        <w:gridCol w:w="1133"/>
        <w:gridCol w:w="763"/>
        <w:gridCol w:w="956"/>
        <w:gridCol w:w="930"/>
      </w:tblGrid>
      <w:tr w:rsidR="003F7233" w:rsidRPr="003F7233" w:rsidTr="003F7233">
        <w:trPr>
          <w:tblHeader/>
          <w:tblCellSpacing w:w="15" w:type="dxa"/>
        </w:trPr>
        <w:tc>
          <w:tcPr>
            <w:tcW w:w="0" w:type="auto"/>
            <w:vAlign w:val="center"/>
            <w:hideMark/>
          </w:tcPr>
          <w:p w:rsidR="003F7233" w:rsidRPr="003F7233" w:rsidRDefault="003F7233" w:rsidP="003F7233">
            <w:pPr>
              <w:bidi w:val="0"/>
              <w:spacing w:after="0" w:line="240" w:lineRule="auto"/>
              <w:jc w:val="center"/>
              <w:rPr>
                <w:rFonts w:ascii="Times New Roman" w:eastAsia="Times New Roman" w:hAnsi="Times New Roman" w:cs="Times New Roman"/>
                <w:b/>
                <w:bCs/>
                <w:sz w:val="24"/>
                <w:szCs w:val="24"/>
              </w:rPr>
            </w:pPr>
            <w:r w:rsidRPr="003F7233">
              <w:rPr>
                <w:rFonts w:ascii="Times New Roman" w:eastAsia="Times New Roman" w:hAnsi="Times New Roman" w:cs="Times New Roman"/>
                <w:b/>
                <w:bCs/>
                <w:sz w:val="24"/>
                <w:szCs w:val="24"/>
              </w:rPr>
              <w:t>Tender No</w:t>
            </w:r>
          </w:p>
        </w:tc>
        <w:tc>
          <w:tcPr>
            <w:tcW w:w="0" w:type="auto"/>
            <w:vAlign w:val="center"/>
            <w:hideMark/>
          </w:tcPr>
          <w:p w:rsidR="003F7233" w:rsidRPr="003F7233" w:rsidRDefault="003F7233" w:rsidP="003F7233">
            <w:pPr>
              <w:bidi w:val="0"/>
              <w:spacing w:after="0" w:line="240" w:lineRule="auto"/>
              <w:jc w:val="center"/>
              <w:rPr>
                <w:rFonts w:ascii="Times New Roman" w:eastAsia="Times New Roman" w:hAnsi="Times New Roman" w:cs="Times New Roman"/>
                <w:b/>
                <w:bCs/>
                <w:sz w:val="24"/>
                <w:szCs w:val="24"/>
              </w:rPr>
            </w:pPr>
            <w:r w:rsidRPr="003F7233">
              <w:rPr>
                <w:rFonts w:ascii="Times New Roman" w:eastAsia="Times New Roman" w:hAnsi="Times New Roman" w:cs="Times New Roman"/>
                <w:b/>
                <w:bCs/>
                <w:sz w:val="24"/>
                <w:szCs w:val="24"/>
              </w:rPr>
              <w:t xml:space="preserve">Subject </w:t>
            </w:r>
          </w:p>
        </w:tc>
        <w:tc>
          <w:tcPr>
            <w:tcW w:w="0" w:type="auto"/>
            <w:vAlign w:val="center"/>
            <w:hideMark/>
          </w:tcPr>
          <w:p w:rsidR="003F7233" w:rsidRPr="003F7233" w:rsidRDefault="003F7233" w:rsidP="003F7233">
            <w:pPr>
              <w:bidi w:val="0"/>
              <w:spacing w:after="0" w:line="240" w:lineRule="auto"/>
              <w:jc w:val="center"/>
              <w:rPr>
                <w:rFonts w:ascii="Times New Roman" w:eastAsia="Times New Roman" w:hAnsi="Times New Roman" w:cs="Times New Roman"/>
                <w:b/>
                <w:bCs/>
                <w:sz w:val="24"/>
                <w:szCs w:val="24"/>
              </w:rPr>
            </w:pPr>
            <w:r w:rsidRPr="003F7233">
              <w:rPr>
                <w:rFonts w:ascii="Times New Roman" w:eastAsia="Times New Roman" w:hAnsi="Times New Roman" w:cs="Times New Roman"/>
                <w:b/>
                <w:bCs/>
                <w:sz w:val="24"/>
                <w:szCs w:val="24"/>
              </w:rPr>
              <w:t>Ministry</w:t>
            </w:r>
          </w:p>
        </w:tc>
        <w:tc>
          <w:tcPr>
            <w:tcW w:w="0" w:type="auto"/>
            <w:vAlign w:val="center"/>
            <w:hideMark/>
          </w:tcPr>
          <w:p w:rsidR="003F7233" w:rsidRPr="003F7233" w:rsidRDefault="003F7233" w:rsidP="003F7233">
            <w:pPr>
              <w:bidi w:val="0"/>
              <w:spacing w:after="0" w:line="240" w:lineRule="auto"/>
              <w:jc w:val="center"/>
              <w:rPr>
                <w:rFonts w:ascii="Times New Roman" w:eastAsia="Times New Roman" w:hAnsi="Times New Roman" w:cs="Times New Roman"/>
                <w:b/>
                <w:bCs/>
                <w:sz w:val="24"/>
                <w:szCs w:val="24"/>
              </w:rPr>
            </w:pPr>
            <w:r w:rsidRPr="003F7233">
              <w:rPr>
                <w:rFonts w:ascii="Times New Roman" w:eastAsia="Times New Roman" w:hAnsi="Times New Roman" w:cs="Times New Roman"/>
                <w:b/>
                <w:bCs/>
                <w:sz w:val="24"/>
                <w:szCs w:val="24"/>
              </w:rPr>
              <w:t>Tender Num At Requester</w:t>
            </w:r>
          </w:p>
        </w:tc>
        <w:tc>
          <w:tcPr>
            <w:tcW w:w="0" w:type="auto"/>
            <w:vAlign w:val="center"/>
            <w:hideMark/>
          </w:tcPr>
          <w:p w:rsidR="003F7233" w:rsidRPr="003F7233" w:rsidRDefault="003F7233" w:rsidP="003F7233">
            <w:pPr>
              <w:bidi w:val="0"/>
              <w:spacing w:after="0" w:line="240" w:lineRule="auto"/>
              <w:jc w:val="center"/>
              <w:rPr>
                <w:rFonts w:ascii="Times New Roman" w:eastAsia="Times New Roman" w:hAnsi="Times New Roman" w:cs="Times New Roman"/>
                <w:b/>
                <w:bCs/>
                <w:sz w:val="24"/>
                <w:szCs w:val="24"/>
              </w:rPr>
            </w:pPr>
            <w:r w:rsidRPr="003F7233">
              <w:rPr>
                <w:rFonts w:ascii="Times New Roman" w:eastAsia="Times New Roman" w:hAnsi="Times New Roman" w:cs="Times New Roman"/>
                <w:b/>
                <w:bCs/>
                <w:sz w:val="24"/>
                <w:szCs w:val="24"/>
              </w:rPr>
              <w:t>Classification</w:t>
            </w:r>
          </w:p>
        </w:tc>
        <w:tc>
          <w:tcPr>
            <w:tcW w:w="0" w:type="auto"/>
            <w:vAlign w:val="center"/>
            <w:hideMark/>
          </w:tcPr>
          <w:p w:rsidR="003F7233" w:rsidRPr="003F7233" w:rsidRDefault="003F7233" w:rsidP="003F7233">
            <w:pPr>
              <w:bidi w:val="0"/>
              <w:spacing w:after="0" w:line="240" w:lineRule="auto"/>
              <w:jc w:val="center"/>
              <w:rPr>
                <w:rFonts w:ascii="Times New Roman" w:eastAsia="Times New Roman" w:hAnsi="Times New Roman" w:cs="Times New Roman"/>
                <w:b/>
                <w:bCs/>
                <w:sz w:val="24"/>
                <w:szCs w:val="24"/>
              </w:rPr>
            </w:pPr>
            <w:r w:rsidRPr="003F7233">
              <w:rPr>
                <w:rFonts w:ascii="Times New Roman" w:eastAsia="Times New Roman" w:hAnsi="Times New Roman" w:cs="Times New Roman"/>
                <w:b/>
                <w:bCs/>
                <w:sz w:val="24"/>
                <w:szCs w:val="24"/>
              </w:rPr>
              <w:t>Envelopes system</w:t>
            </w:r>
          </w:p>
        </w:tc>
        <w:tc>
          <w:tcPr>
            <w:tcW w:w="0" w:type="auto"/>
            <w:vAlign w:val="center"/>
            <w:hideMark/>
          </w:tcPr>
          <w:p w:rsidR="003F7233" w:rsidRPr="003F7233" w:rsidRDefault="003F7233" w:rsidP="003F7233">
            <w:pPr>
              <w:bidi w:val="0"/>
              <w:spacing w:after="0" w:line="240" w:lineRule="auto"/>
              <w:jc w:val="center"/>
              <w:rPr>
                <w:rFonts w:ascii="Times New Roman" w:eastAsia="Times New Roman" w:hAnsi="Times New Roman" w:cs="Times New Roman"/>
                <w:b/>
                <w:bCs/>
                <w:sz w:val="24"/>
                <w:szCs w:val="24"/>
              </w:rPr>
            </w:pPr>
            <w:r w:rsidRPr="003F7233">
              <w:rPr>
                <w:rFonts w:ascii="Times New Roman" w:eastAsia="Times New Roman" w:hAnsi="Times New Roman" w:cs="Times New Roman"/>
                <w:b/>
                <w:bCs/>
                <w:sz w:val="24"/>
                <w:szCs w:val="24"/>
              </w:rPr>
              <w:t>Tender Bond</w:t>
            </w:r>
          </w:p>
        </w:tc>
        <w:tc>
          <w:tcPr>
            <w:tcW w:w="0" w:type="auto"/>
            <w:vAlign w:val="center"/>
            <w:hideMark/>
          </w:tcPr>
          <w:p w:rsidR="003F7233" w:rsidRPr="003F7233" w:rsidRDefault="003F7233" w:rsidP="003F7233">
            <w:pPr>
              <w:bidi w:val="0"/>
              <w:spacing w:after="0" w:line="240" w:lineRule="auto"/>
              <w:jc w:val="center"/>
              <w:rPr>
                <w:rFonts w:ascii="Times New Roman" w:eastAsia="Times New Roman" w:hAnsi="Times New Roman" w:cs="Times New Roman"/>
                <w:b/>
                <w:bCs/>
                <w:sz w:val="24"/>
                <w:szCs w:val="24"/>
              </w:rPr>
            </w:pPr>
            <w:r w:rsidRPr="003F7233">
              <w:rPr>
                <w:rFonts w:ascii="Times New Roman" w:eastAsia="Times New Roman" w:hAnsi="Times New Roman" w:cs="Times New Roman"/>
                <w:b/>
                <w:bCs/>
                <w:sz w:val="24"/>
                <w:szCs w:val="24"/>
              </w:rPr>
              <w:t>Documents Value (Q.R)</w:t>
            </w:r>
          </w:p>
        </w:tc>
        <w:tc>
          <w:tcPr>
            <w:tcW w:w="0" w:type="auto"/>
            <w:vAlign w:val="center"/>
            <w:hideMark/>
          </w:tcPr>
          <w:p w:rsidR="003F7233" w:rsidRPr="003F7233" w:rsidRDefault="003F7233" w:rsidP="003F7233">
            <w:pPr>
              <w:bidi w:val="0"/>
              <w:spacing w:after="0" w:line="240" w:lineRule="auto"/>
              <w:jc w:val="center"/>
              <w:rPr>
                <w:rFonts w:ascii="Times New Roman" w:eastAsia="Times New Roman" w:hAnsi="Times New Roman" w:cs="Times New Roman"/>
                <w:b/>
                <w:bCs/>
                <w:sz w:val="24"/>
                <w:szCs w:val="24"/>
              </w:rPr>
            </w:pPr>
            <w:r w:rsidRPr="003F7233">
              <w:rPr>
                <w:rFonts w:ascii="Times New Roman" w:eastAsia="Times New Roman" w:hAnsi="Times New Roman" w:cs="Times New Roman"/>
                <w:b/>
                <w:bCs/>
                <w:sz w:val="24"/>
                <w:szCs w:val="24"/>
              </w:rPr>
              <w:t>Closing Date</w:t>
            </w:r>
          </w:p>
        </w:tc>
      </w:tr>
      <w:tr w:rsidR="003F7233" w:rsidRPr="003F7233" w:rsidTr="003F7233">
        <w:trPr>
          <w:tblCellSpacing w:w="15" w:type="dxa"/>
        </w:trPr>
        <w:tc>
          <w:tcPr>
            <w:tcW w:w="0" w:type="auto"/>
            <w:vAlign w:val="center"/>
            <w:hideMark/>
          </w:tcPr>
          <w:p w:rsidR="003F7233" w:rsidRPr="003F7233" w:rsidRDefault="003F7233" w:rsidP="003F7233">
            <w:pPr>
              <w:bidi w:val="0"/>
              <w:spacing w:after="0"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sz w:val="24"/>
                <w:szCs w:val="24"/>
              </w:rPr>
              <w:t>1046/2024</w:t>
            </w:r>
          </w:p>
        </w:tc>
        <w:tc>
          <w:tcPr>
            <w:tcW w:w="0" w:type="auto"/>
            <w:vAlign w:val="center"/>
            <w:hideMark/>
          </w:tcPr>
          <w:p w:rsidR="003F7233" w:rsidRPr="003F7233" w:rsidRDefault="003F7233" w:rsidP="003F7233">
            <w:pPr>
              <w:bidi w:val="0"/>
              <w:spacing w:after="0"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sz w:val="24"/>
                <w:szCs w:val="24"/>
              </w:rPr>
              <w:t xml:space="preserve">Supply Security Guide </w:t>
            </w:r>
          </w:p>
        </w:tc>
        <w:tc>
          <w:tcPr>
            <w:tcW w:w="0" w:type="auto"/>
            <w:vAlign w:val="center"/>
            <w:hideMark/>
          </w:tcPr>
          <w:p w:rsidR="003F7233" w:rsidRPr="003F7233" w:rsidRDefault="003F7233" w:rsidP="003F7233">
            <w:pPr>
              <w:bidi w:val="0"/>
              <w:spacing w:after="0" w:line="240" w:lineRule="auto"/>
              <w:rPr>
                <w:rFonts w:ascii="Times New Roman" w:eastAsia="Times New Roman" w:hAnsi="Times New Roman" w:cs="Times New Roman"/>
                <w:sz w:val="24"/>
                <w:szCs w:val="24"/>
              </w:rPr>
            </w:pPr>
          </w:p>
        </w:tc>
        <w:tc>
          <w:tcPr>
            <w:tcW w:w="0" w:type="auto"/>
            <w:vAlign w:val="center"/>
            <w:hideMark/>
          </w:tcPr>
          <w:p w:rsidR="003F7233" w:rsidRPr="003F7233" w:rsidRDefault="003F7233" w:rsidP="003F7233">
            <w:pPr>
              <w:bidi w:val="0"/>
              <w:spacing w:after="0"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sz w:val="24"/>
                <w:szCs w:val="24"/>
              </w:rPr>
              <w:t>HRC02/2024</w:t>
            </w:r>
          </w:p>
        </w:tc>
        <w:tc>
          <w:tcPr>
            <w:tcW w:w="0" w:type="auto"/>
            <w:vAlign w:val="center"/>
            <w:hideMark/>
          </w:tcPr>
          <w:p w:rsidR="003F7233" w:rsidRPr="003F7233" w:rsidRDefault="003F7233" w:rsidP="003F7233">
            <w:pPr>
              <w:bidi w:val="0"/>
              <w:spacing w:after="0"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sz w:val="24"/>
                <w:szCs w:val="24"/>
              </w:rPr>
              <w:t>Service Providers</w:t>
            </w:r>
          </w:p>
        </w:tc>
        <w:tc>
          <w:tcPr>
            <w:tcW w:w="0" w:type="auto"/>
            <w:vAlign w:val="center"/>
            <w:hideMark/>
          </w:tcPr>
          <w:p w:rsidR="003F7233" w:rsidRPr="003F7233" w:rsidRDefault="003F7233" w:rsidP="003F7233">
            <w:pPr>
              <w:bidi w:val="0"/>
              <w:spacing w:after="0"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sz w:val="24"/>
                <w:szCs w:val="24"/>
              </w:rPr>
              <w:t>TWO ENVELOPES</w:t>
            </w:r>
          </w:p>
        </w:tc>
        <w:tc>
          <w:tcPr>
            <w:tcW w:w="0" w:type="auto"/>
            <w:vAlign w:val="center"/>
            <w:hideMark/>
          </w:tcPr>
          <w:p w:rsidR="003F7233" w:rsidRPr="003F7233" w:rsidRDefault="003F7233" w:rsidP="003F7233">
            <w:pPr>
              <w:bidi w:val="0"/>
              <w:spacing w:after="0"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sz w:val="24"/>
                <w:szCs w:val="24"/>
              </w:rPr>
              <w:t>12000.00</w:t>
            </w:r>
          </w:p>
        </w:tc>
        <w:tc>
          <w:tcPr>
            <w:tcW w:w="0" w:type="auto"/>
            <w:vAlign w:val="center"/>
            <w:hideMark/>
          </w:tcPr>
          <w:p w:rsidR="003F7233" w:rsidRPr="003F7233" w:rsidRDefault="003F7233" w:rsidP="003F7233">
            <w:pPr>
              <w:bidi w:val="0"/>
              <w:spacing w:after="0"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sz w:val="24"/>
                <w:szCs w:val="24"/>
              </w:rPr>
              <w:t>500</w:t>
            </w:r>
          </w:p>
        </w:tc>
        <w:tc>
          <w:tcPr>
            <w:tcW w:w="0" w:type="auto"/>
            <w:vAlign w:val="center"/>
            <w:hideMark/>
          </w:tcPr>
          <w:p w:rsidR="003F7233" w:rsidRPr="003F7233" w:rsidRDefault="003F7233" w:rsidP="003F7233">
            <w:pPr>
              <w:bidi w:val="0"/>
              <w:spacing w:after="0"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sz w:val="24"/>
                <w:szCs w:val="24"/>
              </w:rPr>
              <w:t>27/03/2024</w:t>
            </w:r>
          </w:p>
        </w:tc>
      </w:tr>
    </w:tbl>
    <w:p w:rsidR="003F7233" w:rsidRPr="003F7233" w:rsidRDefault="003F7233" w:rsidP="003F7233">
      <w:pPr>
        <w:bidi w:val="0"/>
        <w:spacing w:before="100" w:beforeAutospacing="1" w:after="100" w:afterAutospacing="1"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b/>
          <w:bCs/>
          <w:color w:val="C00000"/>
          <w:sz w:val="24"/>
          <w:szCs w:val="24"/>
          <w:u w:val="single"/>
        </w:rPr>
        <w:t xml:space="preserve">Conditions for Entering Tenders and Auctions and Equivalents. </w:t>
      </w:r>
    </w:p>
    <w:p w:rsidR="003F7233" w:rsidRPr="003F7233" w:rsidRDefault="003F7233" w:rsidP="003F7233">
      <w:pPr>
        <w:bidi w:val="0"/>
        <w:spacing w:before="100" w:beforeAutospacing="1" w:after="100" w:afterAutospacing="1"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b/>
          <w:bCs/>
          <w:color w:val="000000"/>
          <w:sz w:val="24"/>
          <w:szCs w:val="24"/>
        </w:rPr>
        <w:t> </w:t>
      </w:r>
    </w:p>
    <w:p w:rsidR="003F7233" w:rsidRPr="003F7233" w:rsidRDefault="003F7233" w:rsidP="003F7233">
      <w:pPr>
        <w:bidi w:val="0"/>
        <w:spacing w:before="100" w:beforeAutospacing="1" w:after="100" w:afterAutospacing="1"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color w:val="000000"/>
          <w:sz w:val="24"/>
          <w:szCs w:val="24"/>
        </w:rPr>
        <w:t xml:space="preserve">1. The tender and equivalents mean the bid for the supply of items, the provision of services, or the supply of items and the provision of services together, or contracting works through the public tender, the two-phase tender, the limited tender, the practice, or the direct agreement. </w:t>
      </w:r>
    </w:p>
    <w:p w:rsidR="003F7233" w:rsidRPr="003F7233" w:rsidRDefault="003F7233" w:rsidP="003F7233">
      <w:pPr>
        <w:bidi w:val="0"/>
        <w:spacing w:before="100" w:beforeAutospacing="1" w:after="100" w:afterAutospacing="1"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color w:val="000000"/>
          <w:sz w:val="24"/>
          <w:szCs w:val="24"/>
        </w:rPr>
        <w:t xml:space="preserve">2. Auctions and equivalents are meant to be the bid for the government authority’s sale of items, rental of real estate, areas, or movables through public auction, practice, or direct agreement. </w:t>
      </w:r>
    </w:p>
    <w:p w:rsidR="003F7233" w:rsidRPr="003F7233" w:rsidRDefault="003F7233" w:rsidP="003F7233">
      <w:pPr>
        <w:bidi w:val="0"/>
        <w:spacing w:before="100" w:beforeAutospacing="1" w:after="100" w:afterAutospacing="1"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color w:val="000000"/>
          <w:sz w:val="24"/>
          <w:szCs w:val="24"/>
        </w:rPr>
        <w:t>3. Those wishing to submit their bids may obtain the offering documents from the unified website for state procurement using their login data (</w:t>
      </w:r>
      <w:r w:rsidRPr="003F7233">
        <w:rPr>
          <w:rFonts w:ascii="Times New Roman" w:eastAsia="Times New Roman" w:hAnsi="Times New Roman" w:cs="Times New Roman"/>
          <w:color w:val="C00000"/>
          <w:sz w:val="24"/>
          <w:szCs w:val="24"/>
        </w:rPr>
        <w:t>the email registered in the classification program</w:t>
      </w:r>
      <w:r w:rsidRPr="003F7233">
        <w:rPr>
          <w:rFonts w:ascii="Times New Roman" w:eastAsia="Times New Roman" w:hAnsi="Times New Roman" w:cs="Times New Roman"/>
          <w:color w:val="000000"/>
          <w:sz w:val="24"/>
          <w:szCs w:val="24"/>
        </w:rPr>
        <w:t>) after paying the value of the prescribed documents by clicking on the (buy) icon.</w:t>
      </w:r>
    </w:p>
    <w:p w:rsidR="003F7233" w:rsidRPr="003F7233" w:rsidRDefault="003F7233" w:rsidP="003F7233">
      <w:pPr>
        <w:bidi w:val="0"/>
        <w:spacing w:before="100" w:beforeAutospacing="1" w:after="100" w:afterAutospacing="1"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color w:val="000000"/>
          <w:sz w:val="24"/>
          <w:szCs w:val="24"/>
        </w:rPr>
        <w:t>4. The downloaded copy of these documents belongs to the authority that purchased or downloaded them for free and may not be distributed or given to others.</w:t>
      </w:r>
    </w:p>
    <w:p w:rsidR="003F7233" w:rsidRPr="003F7233" w:rsidRDefault="003F7233" w:rsidP="003F7233">
      <w:pPr>
        <w:bidi w:val="0"/>
        <w:spacing w:before="100" w:beforeAutospacing="1" w:after="100" w:afterAutospacing="1"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color w:val="3D1466"/>
          <w:sz w:val="24"/>
          <w:szCs w:val="24"/>
        </w:rPr>
        <w:t>5. </w:t>
      </w:r>
      <w:r w:rsidRPr="003F7233">
        <w:rPr>
          <w:rFonts w:ascii="Times New Roman" w:eastAsia="Times New Roman" w:hAnsi="Times New Roman" w:cs="Times New Roman"/>
          <w:color w:val="000000"/>
          <w:sz w:val="24"/>
          <w:szCs w:val="24"/>
        </w:rPr>
        <w:t xml:space="preserve">In the event that the conditions provide for the submission of an initial guarantee, a temporary security shall be attached to the bid, in the name of the government authority to the Committee, by an acceptable payable cheque (manager’s cheque) or by virtue of a bank guarantee letter issued by a local or accredaited bank, not accompanied by any restriction or condition, and valid for the entire performance, and it is irrevocable, provided that its validity period shall not be less than (120) one </w:t>
      </w:r>
      <w:r w:rsidRPr="003F7233">
        <w:rPr>
          <w:rFonts w:ascii="Times New Roman" w:eastAsia="Times New Roman" w:hAnsi="Times New Roman" w:cs="Times New Roman"/>
          <w:color w:val="000000"/>
          <w:sz w:val="24"/>
          <w:szCs w:val="24"/>
        </w:rPr>
        <w:lastRenderedPageBreak/>
        <w:t>hundred and twenty days from the date specified for the delivery of the bid, and in public auctions, the bidder who was awarded the bid or part thereof shall pay cash in advance, the price specified for initial guarantee shown in the announcement, Provided that it pays the remainder of the sale value within a period not exceeding two working days from the date of award.</w:t>
      </w:r>
    </w:p>
    <w:p w:rsidR="003F7233" w:rsidRPr="003F7233" w:rsidRDefault="003F7233" w:rsidP="003F7233">
      <w:pPr>
        <w:bidi w:val="0"/>
        <w:spacing w:before="100" w:beforeAutospacing="1" w:after="100" w:afterAutospacing="1"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color w:val="000000"/>
          <w:sz w:val="24"/>
          <w:szCs w:val="24"/>
        </w:rPr>
        <w:t>6. The Committee may request to extend the validity of bids for a period not exceeding (10) working days.</w:t>
      </w:r>
    </w:p>
    <w:p w:rsidR="003F7233" w:rsidRPr="003F7233" w:rsidRDefault="003F7233" w:rsidP="003F7233">
      <w:pPr>
        <w:bidi w:val="0"/>
        <w:spacing w:before="100" w:beforeAutospacing="1" w:after="100" w:afterAutospacing="1"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color w:val="000000"/>
          <w:sz w:val="24"/>
          <w:szCs w:val="24"/>
        </w:rPr>
        <w:t>7. Bidders of companies shall submit a certificate of clearance from tax debts.</w:t>
      </w:r>
    </w:p>
    <w:p w:rsidR="003F7233" w:rsidRPr="003F7233" w:rsidRDefault="003F7233" w:rsidP="003F7233">
      <w:pPr>
        <w:bidi w:val="0"/>
        <w:spacing w:before="100" w:beforeAutospacing="1" w:after="100" w:afterAutospacing="1"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color w:val="000000"/>
          <w:sz w:val="24"/>
          <w:szCs w:val="24"/>
        </w:rPr>
        <w:t>8. The government authority has the right to exclude the company's bid if its activity is not in accordance with the type and subject of the bid, or if the submitted bid is not technically or financially compatible, or in violation of the special conditions or general conditions included in the bid documents, or in violation of the requirements contained in this announcement or invitation, or other requirements stipulated in the tenders</w:t>
      </w:r>
      <w:r w:rsidRPr="003F7233">
        <w:rPr>
          <w:rFonts w:ascii="Times New Roman" w:eastAsia="Times New Roman" w:hAnsi="Times New Roman" w:cs="Times New Roman"/>
          <w:sz w:val="24"/>
          <w:szCs w:val="24"/>
        </w:rPr>
        <w:t xml:space="preserve"> </w:t>
      </w:r>
      <w:r w:rsidRPr="003F7233">
        <w:rPr>
          <w:rFonts w:ascii="Times New Roman" w:eastAsia="Times New Roman" w:hAnsi="Times New Roman" w:cs="Times New Roman"/>
          <w:color w:val="000000"/>
          <w:sz w:val="24"/>
          <w:szCs w:val="24"/>
        </w:rPr>
        <w:t>and auctions law issued by Law No. (24) of 2015, amended by Decree-Law No. (18) of 2018, and its executive regulations issued by Cabinet Resolution No. (16) of 2019 and amended by Cabinet Resolution No. (11) of 2022.</w:t>
      </w:r>
    </w:p>
    <w:p w:rsidR="003F7233" w:rsidRPr="003F7233" w:rsidRDefault="003F7233" w:rsidP="003F7233">
      <w:pPr>
        <w:bidi w:val="0"/>
        <w:spacing w:before="100" w:beforeAutospacing="1" w:after="100" w:afterAutospacing="1"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color w:val="000000"/>
          <w:sz w:val="24"/>
          <w:szCs w:val="24"/>
        </w:rPr>
        <w:t>9. Participation in the</w:t>
      </w:r>
      <w:r w:rsidRPr="003F7233">
        <w:rPr>
          <w:rFonts w:ascii="Times New Roman" w:eastAsia="Times New Roman" w:hAnsi="Times New Roman" w:cs="Times New Roman"/>
          <w:sz w:val="24"/>
          <w:szCs w:val="24"/>
        </w:rPr>
        <w:t xml:space="preserve"> </w:t>
      </w:r>
      <w:r w:rsidRPr="003F7233">
        <w:rPr>
          <w:rFonts w:ascii="Times New Roman" w:eastAsia="Times New Roman" w:hAnsi="Times New Roman" w:cs="Times New Roman"/>
          <w:color w:val="000000"/>
          <w:sz w:val="24"/>
          <w:szCs w:val="24"/>
        </w:rPr>
        <w:t>two phases tender (the second phase), or the limited tender or practice</w:t>
      </w:r>
      <w:r w:rsidRPr="003F7233">
        <w:rPr>
          <w:rFonts w:ascii="Times New Roman" w:eastAsia="Times New Roman" w:hAnsi="Times New Roman" w:cs="Times New Roman"/>
          <w:sz w:val="24"/>
          <w:szCs w:val="24"/>
        </w:rPr>
        <w:t xml:space="preserve"> </w:t>
      </w:r>
      <w:r w:rsidRPr="003F7233">
        <w:rPr>
          <w:rFonts w:ascii="Times New Roman" w:eastAsia="Times New Roman" w:hAnsi="Times New Roman" w:cs="Times New Roman"/>
          <w:color w:val="000000"/>
          <w:sz w:val="24"/>
          <w:szCs w:val="24"/>
        </w:rPr>
        <w:t>is limited to companies that have received an invitation to participate from the unified website for state procurement.</w:t>
      </w:r>
    </w:p>
    <w:p w:rsidR="003F7233" w:rsidRPr="003F7233" w:rsidRDefault="003F7233" w:rsidP="003F7233">
      <w:pPr>
        <w:bidi w:val="0"/>
        <w:spacing w:before="100" w:beforeAutospacing="1" w:after="100" w:afterAutospacing="1"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color w:val="000000"/>
          <w:sz w:val="24"/>
          <w:szCs w:val="24"/>
        </w:rPr>
        <w:t xml:space="preserve">10. If the terms of the bid allow the participation of individuals, they must register on the unified website for state procurement before purchasing or uploading the bid documents. </w:t>
      </w:r>
    </w:p>
    <w:p w:rsidR="003F7233" w:rsidRPr="003F7233" w:rsidRDefault="003F7233" w:rsidP="003F7233">
      <w:pPr>
        <w:bidi w:val="0"/>
        <w:spacing w:before="100" w:beforeAutospacing="1" w:after="100" w:afterAutospacing="1"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color w:val="000000"/>
          <w:sz w:val="24"/>
          <w:szCs w:val="24"/>
        </w:rPr>
        <w:t>11. Submitting bids shall be made by the bidder who purchased the documents through the unified website for state procurement, and the person who purchased them may not request to allow another party affiliated with it or not to submit the bid in its place.</w:t>
      </w:r>
    </w:p>
    <w:p w:rsidR="003F7233" w:rsidRPr="003F7233" w:rsidRDefault="003F7233" w:rsidP="003F7233">
      <w:pPr>
        <w:bidi w:val="0"/>
        <w:spacing w:before="100" w:beforeAutospacing="1" w:after="100" w:afterAutospacing="1"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color w:val="000000"/>
          <w:sz w:val="24"/>
          <w:szCs w:val="24"/>
        </w:rPr>
        <w:t>12. The award in the tender and its equivalent shall be for the best bid that fulfills all the conditions and conforms to the required technical specifications, provided that the value of the award shall not exceed the estimated value of the subject of the bid. Preference shall be given first to the bid that provided the lowest financial result, after calculating the percentage of the local value submitted by the bidders, in accordance with the following formula: [Total Bid Price x (1-ICV%) = Financial Outcome].</w:t>
      </w:r>
    </w:p>
    <w:p w:rsidR="003F7233" w:rsidRPr="003F7233" w:rsidRDefault="003F7233" w:rsidP="003F7233">
      <w:pPr>
        <w:bidi w:val="0"/>
        <w:spacing w:before="100" w:beforeAutospacing="1" w:after="100" w:afterAutospacing="1"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color w:val="000000"/>
          <w:sz w:val="24"/>
          <w:szCs w:val="24"/>
        </w:rPr>
        <w:t>13. Without prejudice to the specifications and dates specified for the supply of items, the Tenders and Auctions Committee may, in the tender and the like, if the prices are equal between two or more bids in the purchase of items, the committee may divide the required quantities between these bids and award them to more than one bidder according to the best financial result for the desired item to be awarded according to the following equation: [Total price of the item x (1-ICV%) = financial outcome], without prejudice to the specifications and the interdependence of the divided materials.</w:t>
      </w:r>
    </w:p>
    <w:p w:rsidR="003F7233" w:rsidRPr="003F7233" w:rsidRDefault="003F7233" w:rsidP="003F7233">
      <w:pPr>
        <w:bidi w:val="0"/>
        <w:spacing w:before="100" w:beforeAutospacing="1" w:after="100" w:afterAutospacing="1"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color w:val="000000"/>
          <w:sz w:val="24"/>
          <w:szCs w:val="24"/>
        </w:rPr>
        <w:t>14. The award in auctions and the like shall be for the best accepted bid that submitted the highest price that meets the conditions, provided that it is not less than the basic value specified by the competent authority.</w:t>
      </w:r>
    </w:p>
    <w:p w:rsidR="003F7233" w:rsidRPr="003F7233" w:rsidRDefault="003F7233" w:rsidP="003F7233">
      <w:pPr>
        <w:bidi w:val="0"/>
        <w:spacing w:before="100" w:beforeAutospacing="1" w:after="100" w:afterAutospacing="1"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color w:val="000000"/>
          <w:sz w:val="24"/>
          <w:szCs w:val="24"/>
        </w:rPr>
        <w:t>15. In the event of awarding, the bidder shall receive a notification from the secretary or from the unified website for state procurement, and it will also receive a notice from the [concerned department] to provide the final guarantee, if required, or to sign the contract, in auctions for sale or lease in sealed envelopes. the person to whom the bid is awarded and the like shall pay the full value of the items or the due installment of the rental value, within seven working days of being notified of the award of the auction. The payment of the rental value shall be in periodic payments every six months in advance.</w:t>
      </w:r>
    </w:p>
    <w:p w:rsidR="003F7233" w:rsidRPr="003F7233" w:rsidRDefault="003F7233" w:rsidP="003F7233">
      <w:pPr>
        <w:bidi w:val="0"/>
        <w:spacing w:before="100" w:beforeAutospacing="1" w:after="100" w:afterAutospacing="1"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color w:val="000000"/>
          <w:sz w:val="24"/>
          <w:szCs w:val="24"/>
        </w:rPr>
        <w:t>16. The submission of the final guarantee shall take place within a period of (15) working days for companies inside the country and (20) working days for companies outside the country, starting from the day following the date of notifying the competent department of the award.</w:t>
      </w:r>
    </w:p>
    <w:p w:rsidR="003F7233" w:rsidRPr="003F7233" w:rsidRDefault="003F7233" w:rsidP="003F7233">
      <w:pPr>
        <w:bidi w:val="0"/>
        <w:spacing w:before="100" w:beforeAutospacing="1" w:after="100" w:afterAutospacing="1"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color w:val="000000"/>
          <w:sz w:val="24"/>
          <w:szCs w:val="24"/>
        </w:rPr>
        <w:t>17. If the terms of the bid provide for the submission of a final guarantee, and after receiving the notification of the award from the competent department, the value of the final guarantee shall not be less than (10%) of the contract value, and it shall be submitted under an acceptable bank letter of guarantee or an acceptable cheque that is not accompanied by any restriction or condition, and is valid for the entire performance, irrevocable by a local or accredited bank, and the signing of the contract within the period specified by the competent department, provided that it does not exceed twenty working days from the date of submission of the final guarantee.</w:t>
      </w:r>
    </w:p>
    <w:p w:rsidR="003F7233" w:rsidRPr="003F7233" w:rsidRDefault="003F7233" w:rsidP="003F7233">
      <w:pPr>
        <w:bidi w:val="0"/>
        <w:spacing w:before="100" w:beforeAutospacing="1" w:after="100" w:afterAutospacing="1"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color w:val="000000"/>
          <w:sz w:val="24"/>
          <w:szCs w:val="24"/>
        </w:rPr>
        <w:t xml:space="preserve">18. In the event of abstention from submitting the final guarantee on the scheduled dates, or failure to appear to sign the contract on the specified date, and failure to pay the full value of the items or the due installment of the rental value in sale auctions and the like, the bidder in this case who was awarded shall be deemed to have withdrawn, and shall apply to it the penalties stipulated in the general conditions included in the bid documents as well as the content of the provisions of the Tenders and Auctions Law promulgated by Law No. (24) of 2015, as amended by Decree-Law No. (18) of 2018, and its executive regulations issued by Cabinet Resolution No. (16) of 2019 and amended by Cabinet Resolution No. (11) for the year 2022. </w:t>
      </w:r>
    </w:p>
    <w:p w:rsidR="003F7233" w:rsidRPr="003F7233" w:rsidRDefault="003F7233" w:rsidP="003F7233">
      <w:pPr>
        <w:bidi w:val="0"/>
        <w:spacing w:before="100" w:beforeAutospacing="1" w:after="100" w:afterAutospacing="1"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color w:val="000000"/>
          <w:sz w:val="24"/>
          <w:szCs w:val="24"/>
        </w:rPr>
        <w:t>19. With the exception of auctions for the sale of items, the government authority has the right during the contract period and after the approval of the head of the government authority and based on the committee’s recommendation to increase or decrease the amounts of items, works, services or period under the same conditions and prices, by a percentage not exceeding 20% of the contract value or duration.</w:t>
      </w:r>
    </w:p>
    <w:p w:rsidR="003F7233" w:rsidRPr="003F7233" w:rsidRDefault="003F7233" w:rsidP="003F7233">
      <w:pPr>
        <w:bidi w:val="0"/>
        <w:spacing w:before="100" w:beforeAutospacing="1" w:after="100" w:afterAutospacing="1"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color w:val="000000"/>
          <w:sz w:val="24"/>
          <w:szCs w:val="24"/>
        </w:rPr>
        <w:t>20. The local value system mentioned in the announcement or invitation shall be adhered to, as determined by the government authority, whether by submitting a local value certificate or a local value plan, and the bidder who violates the local value system in this case shall be awarded zero percent.</w:t>
      </w:r>
    </w:p>
    <w:p w:rsidR="003F7233" w:rsidRPr="003F7233" w:rsidRDefault="003F7233" w:rsidP="003F7233">
      <w:pPr>
        <w:bidi w:val="0"/>
        <w:spacing w:before="100" w:beforeAutospacing="1" w:after="100" w:afterAutospacing="1"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sz w:val="24"/>
          <w:szCs w:val="24"/>
        </w:rPr>
        <w:t> </w:t>
      </w:r>
    </w:p>
    <w:p w:rsidR="003F7233" w:rsidRPr="003F7233" w:rsidRDefault="003F7233" w:rsidP="003F7233">
      <w:pPr>
        <w:bidi w:val="0"/>
        <w:spacing w:before="100" w:beforeAutospacing="1" w:after="100" w:afterAutospacing="1"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b/>
          <w:bCs/>
          <w:color w:val="C00000"/>
          <w:sz w:val="24"/>
          <w:szCs w:val="24"/>
        </w:rPr>
        <w:t>Submission of Bids</w:t>
      </w:r>
    </w:p>
    <w:p w:rsidR="003F7233" w:rsidRPr="003F7233" w:rsidRDefault="003F7233" w:rsidP="003F7233">
      <w:pPr>
        <w:bidi w:val="0"/>
        <w:spacing w:before="100" w:beforeAutospacing="1" w:after="100" w:afterAutospacing="1"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color w:val="000000"/>
          <w:sz w:val="24"/>
          <w:szCs w:val="24"/>
        </w:rPr>
        <w:t>1. The bidder shall prepare the bid in the manner described in the technical proposal form and the financial proposal form, and adhere to the technical requirements, special and general conditions, and the attached forms. The committee has the right to exclude bids that do not comply with that.                                              </w:t>
      </w:r>
    </w:p>
    <w:p w:rsidR="003F7233" w:rsidRPr="003F7233" w:rsidRDefault="003F7233" w:rsidP="003F7233">
      <w:pPr>
        <w:bidi w:val="0"/>
        <w:spacing w:before="100" w:beforeAutospacing="1" w:after="100" w:afterAutospacing="1"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color w:val="000000"/>
          <w:sz w:val="24"/>
          <w:szCs w:val="24"/>
        </w:rPr>
        <w:t>2. Bids are prepared electronically in a (PDF) file format, in a way that does not affect the quality of the bid, and using the latest version of the software to ensure that the bidder shall not encounter technical problems during the upload.</w:t>
      </w:r>
    </w:p>
    <w:p w:rsidR="003F7233" w:rsidRPr="003F7233" w:rsidRDefault="003F7233" w:rsidP="003F7233">
      <w:pPr>
        <w:bidi w:val="0"/>
        <w:spacing w:before="100" w:beforeAutospacing="1" w:after="100" w:afterAutospacing="1"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color w:val="000000"/>
          <w:sz w:val="24"/>
          <w:szCs w:val="24"/>
        </w:rPr>
        <w:t>3. The electronic bids are uploaded by entering the purchased bids page in the bidder's account on the unified state procurement website.</w:t>
      </w:r>
    </w:p>
    <w:p w:rsidR="003F7233" w:rsidRPr="003F7233" w:rsidRDefault="003F7233" w:rsidP="003F7233">
      <w:pPr>
        <w:bidi w:val="0"/>
        <w:spacing w:before="100" w:beforeAutospacing="1" w:after="100" w:afterAutospacing="1"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color w:val="000000"/>
          <w:sz w:val="24"/>
          <w:szCs w:val="24"/>
        </w:rPr>
        <w:t>4. Bids shall be submitted according to the system of envelopes indicated in the announcement or invitation, and they shall be uploaded by clicking on the icon designated for them, whether for the initial guarantee, the technical proposal, or the financial proposal, as the case may be.</w:t>
      </w:r>
    </w:p>
    <w:p w:rsidR="003F7233" w:rsidRPr="003F7233" w:rsidRDefault="003F7233" w:rsidP="003F7233">
      <w:pPr>
        <w:bidi w:val="0"/>
        <w:spacing w:before="100" w:beforeAutospacing="1" w:after="100" w:afterAutospacing="1"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color w:val="000000"/>
          <w:sz w:val="24"/>
          <w:szCs w:val="24"/>
        </w:rPr>
        <w:t xml:space="preserve">5. The committee may, before the closing date and time, and in accordance with the requirements of the public interest, amend the period specified for submitting bids by extending in increase and amending the closing date. </w:t>
      </w:r>
    </w:p>
    <w:p w:rsidR="003F7233" w:rsidRPr="003F7233" w:rsidRDefault="003F7233" w:rsidP="003F7233">
      <w:pPr>
        <w:bidi w:val="0"/>
        <w:spacing w:before="100" w:beforeAutospacing="1" w:after="100" w:afterAutospacing="1"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color w:val="000000"/>
          <w:sz w:val="24"/>
          <w:szCs w:val="24"/>
        </w:rPr>
        <w:t>6. It is strictly forbidden to submit paper bids under the pretext of inability to upload bids on the unified website for state procurement or for any other reasons. If the tender documents include a provision for submitting bids in ways different from what is mentioned in this announcement or invitation, what is mentioned in this announcement or invitation shall supersede.</w:t>
      </w:r>
    </w:p>
    <w:p w:rsidR="003F7233" w:rsidRPr="003F7233" w:rsidRDefault="003F7233" w:rsidP="003F7233">
      <w:pPr>
        <w:bidi w:val="0"/>
        <w:spacing w:before="100" w:beforeAutospacing="1" w:after="100" w:afterAutospacing="1"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color w:val="000000"/>
          <w:sz w:val="24"/>
          <w:szCs w:val="24"/>
        </w:rPr>
        <w:t>7. The bidding period starts from the first day of announcing the bid or sending the invitation, as the case may be,until the closing date and time specified in the announcement or invitation published on the unified website for state procurement on this page.</w:t>
      </w:r>
      <w:r w:rsidRPr="003F7233">
        <w:rPr>
          <w:rFonts w:ascii="Times New Roman" w:eastAsia="Times New Roman" w:hAnsi="Times New Roman" w:cs="Times New Roman"/>
          <w:b/>
          <w:bCs/>
          <w:color w:val="C00000"/>
          <w:sz w:val="24"/>
          <w:szCs w:val="24"/>
        </w:rPr>
        <w:t xml:space="preserve"> Bidders that are desirous to submit their bids may upload their bid on the unified website for state procurement within this period and amend it till the closing date, and the bidder itself takes into account to ensure that the bids are completely uploaded before the closing date in sufficient time in order to give sufficient period for the technical support team to provide assistance if the bidder encounters any technical problems that prevented it from submitting the bid.</w:t>
      </w:r>
    </w:p>
    <w:p w:rsidR="003F7233" w:rsidRPr="003F7233" w:rsidRDefault="003F7233" w:rsidP="003F7233">
      <w:pPr>
        <w:bidi w:val="0"/>
        <w:spacing w:before="100" w:beforeAutospacing="1" w:after="100" w:afterAutospacing="1"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color w:val="000000"/>
          <w:sz w:val="24"/>
          <w:szCs w:val="24"/>
        </w:rPr>
        <w:t>8. If the bidder encounters any technical problems during the submission of bids, kindly contact the technical support directly at the e-mail monaqasat@mof.gov.qa, in order to receive the appropriate technical support, during the official working hours.</w:t>
      </w:r>
    </w:p>
    <w:p w:rsidR="003F7233" w:rsidRPr="003F7233" w:rsidRDefault="003F7233" w:rsidP="003F7233">
      <w:pPr>
        <w:bidi w:val="0"/>
        <w:spacing w:before="100" w:beforeAutospacing="1" w:after="100" w:afterAutospacing="1"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color w:val="000000"/>
          <w:sz w:val="24"/>
          <w:szCs w:val="24"/>
        </w:rPr>
        <w:t xml:space="preserve">9. The </w:t>
      </w:r>
      <w:r w:rsidRPr="003F7233">
        <w:rPr>
          <w:rFonts w:ascii="Times New Roman" w:eastAsia="Times New Roman" w:hAnsi="Times New Roman" w:cs="Times New Roman"/>
          <w:b/>
          <w:bCs/>
          <w:color w:val="000000"/>
          <w:sz w:val="24"/>
          <w:szCs w:val="24"/>
        </w:rPr>
        <w:t>government authority or the Ministry of Finance</w:t>
      </w:r>
      <w:r w:rsidRPr="003F7233">
        <w:rPr>
          <w:rFonts w:ascii="Times New Roman" w:eastAsia="Times New Roman" w:hAnsi="Times New Roman" w:cs="Times New Roman"/>
          <w:color w:val="000000"/>
          <w:sz w:val="24"/>
          <w:szCs w:val="24"/>
        </w:rPr>
        <w:t xml:space="preserve"> cannot give any guarantees to provide appropriate technical support if the period available from the time of submitting the complaint to the time of the automatic closing of the tender is not sufficient to provide that support, and the bidder shall then be considered as if it did not submit its bid, and it is not entitled to claim any rights due to its failure to submit its bid, and it shall not consider any request for it to accept the submission of its bid after the actual closing date indicated in the announcement or invitation.</w:t>
      </w:r>
    </w:p>
    <w:p w:rsidR="003F7233" w:rsidRPr="003F7233" w:rsidRDefault="003F7233" w:rsidP="003F7233">
      <w:pPr>
        <w:bidi w:val="0"/>
        <w:spacing w:before="100" w:beforeAutospacing="1" w:after="100" w:afterAutospacing="1"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sz w:val="24"/>
          <w:szCs w:val="24"/>
        </w:rPr>
        <w:t> </w:t>
      </w:r>
    </w:p>
    <w:p w:rsidR="003F7233" w:rsidRPr="003F7233" w:rsidRDefault="003F7233" w:rsidP="003F7233">
      <w:pPr>
        <w:bidi w:val="0"/>
        <w:spacing w:before="100" w:beforeAutospacing="1" w:after="100" w:afterAutospacing="1"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b/>
          <w:bCs/>
          <w:color w:val="C00000"/>
          <w:sz w:val="24"/>
          <w:szCs w:val="24"/>
        </w:rPr>
        <w:t>Submission of Inquiries </w:t>
      </w:r>
    </w:p>
    <w:p w:rsidR="003F7233" w:rsidRPr="003F7233" w:rsidRDefault="003F7233" w:rsidP="003F7233">
      <w:pPr>
        <w:bidi w:val="0"/>
        <w:spacing w:before="100" w:beforeAutospacing="1" w:after="100" w:afterAutospacing="1"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color w:val="000000"/>
          <w:sz w:val="24"/>
          <w:szCs w:val="24"/>
        </w:rPr>
        <w:t>1. Inquiries related to the implementation of the required works and their conditions mentioned in the offering documents shall be submitted to the competent department of the government authority, within the period specified by the [concerned department] in the documents, or a maximum of two working days prior to the closing date if not specified in the offering documents.</w:t>
      </w:r>
    </w:p>
    <w:p w:rsidR="003F7233" w:rsidRPr="003F7233" w:rsidRDefault="003F7233" w:rsidP="003F7233">
      <w:pPr>
        <w:bidi w:val="0"/>
        <w:spacing w:before="100" w:beforeAutospacing="1" w:after="100" w:afterAutospacing="1"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color w:val="000000"/>
          <w:sz w:val="24"/>
          <w:szCs w:val="24"/>
        </w:rPr>
        <w:t> </w:t>
      </w:r>
    </w:p>
    <w:p w:rsidR="003F7233" w:rsidRPr="003F7233" w:rsidRDefault="003F7233" w:rsidP="003F7233">
      <w:pPr>
        <w:bidi w:val="0"/>
        <w:spacing w:before="100" w:beforeAutospacing="1" w:after="100" w:afterAutospacing="1" w:line="240" w:lineRule="auto"/>
        <w:rPr>
          <w:rFonts w:ascii="Times New Roman" w:eastAsia="Times New Roman" w:hAnsi="Times New Roman" w:cs="Times New Roman"/>
          <w:sz w:val="24"/>
          <w:szCs w:val="24"/>
        </w:rPr>
      </w:pPr>
    </w:p>
    <w:p w:rsidR="003F7233" w:rsidRPr="003F7233" w:rsidRDefault="003F7233" w:rsidP="003F7233">
      <w:pPr>
        <w:bidi w:val="0"/>
        <w:spacing w:after="0" w:line="240" w:lineRule="auto"/>
        <w:rPr>
          <w:rFonts w:ascii="Times New Roman" w:eastAsia="Times New Roman" w:hAnsi="Times New Roman" w:cs="Times New Roman"/>
          <w:sz w:val="24"/>
          <w:szCs w:val="24"/>
        </w:rPr>
      </w:pPr>
    </w:p>
    <w:p w:rsidR="003F7233" w:rsidRPr="003F7233" w:rsidRDefault="003F7233" w:rsidP="003F7233">
      <w:pPr>
        <w:bidi w:val="0"/>
        <w:spacing w:after="0"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b/>
          <w:bCs/>
          <w:sz w:val="24"/>
          <w:szCs w:val="24"/>
        </w:rPr>
        <w:t xml:space="preserve">Site: </w:t>
      </w:r>
      <w:r w:rsidRPr="003F7233">
        <w:rPr>
          <w:rFonts w:ascii="Times New Roman" w:eastAsia="Times New Roman" w:hAnsi="Times New Roman" w:cs="Times New Roman"/>
          <w:sz w:val="24"/>
          <w:szCs w:val="24"/>
        </w:rPr>
        <w:t xml:space="preserve">www.hejen.qa </w:t>
      </w:r>
    </w:p>
    <w:p w:rsidR="003F7233" w:rsidRPr="003F7233" w:rsidRDefault="003F7233" w:rsidP="003F7233">
      <w:pPr>
        <w:bidi w:val="0"/>
        <w:spacing w:after="0" w:line="240" w:lineRule="auto"/>
        <w:rPr>
          <w:rFonts w:ascii="Times New Roman" w:eastAsia="Times New Roman" w:hAnsi="Times New Roman" w:cs="Times New Roman"/>
          <w:sz w:val="24"/>
          <w:szCs w:val="24"/>
        </w:rPr>
      </w:pPr>
    </w:p>
    <w:p w:rsidR="003F7233" w:rsidRPr="003F7233" w:rsidRDefault="003F7233" w:rsidP="003F7233">
      <w:pPr>
        <w:bidi w:val="0"/>
        <w:spacing w:after="0"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b/>
          <w:bCs/>
          <w:sz w:val="24"/>
          <w:szCs w:val="24"/>
        </w:rPr>
        <w:t xml:space="preserve">Phones: </w:t>
      </w:r>
      <w:r w:rsidRPr="003F7233">
        <w:rPr>
          <w:rFonts w:ascii="Times New Roman" w:eastAsia="Times New Roman" w:hAnsi="Times New Roman" w:cs="Times New Roman"/>
          <w:sz w:val="24"/>
          <w:szCs w:val="24"/>
        </w:rPr>
        <w:t xml:space="preserve">44486966 </w:t>
      </w:r>
    </w:p>
    <w:p w:rsidR="003F7233" w:rsidRPr="003F7233" w:rsidRDefault="003F7233" w:rsidP="003F7233">
      <w:pPr>
        <w:bidi w:val="0"/>
        <w:spacing w:after="0" w:line="240" w:lineRule="auto"/>
        <w:rPr>
          <w:rFonts w:ascii="Times New Roman" w:eastAsia="Times New Roman" w:hAnsi="Times New Roman" w:cs="Times New Roman"/>
          <w:sz w:val="24"/>
          <w:szCs w:val="24"/>
        </w:rPr>
      </w:pPr>
    </w:p>
    <w:p w:rsidR="003F7233" w:rsidRPr="003F7233" w:rsidRDefault="003F7233" w:rsidP="003F7233">
      <w:pPr>
        <w:bidi w:val="0"/>
        <w:spacing w:after="0" w:line="240" w:lineRule="auto"/>
        <w:rPr>
          <w:rFonts w:ascii="Times New Roman" w:eastAsia="Times New Roman" w:hAnsi="Times New Roman" w:cs="Times New Roman"/>
          <w:sz w:val="24"/>
          <w:szCs w:val="24"/>
        </w:rPr>
      </w:pPr>
      <w:r w:rsidRPr="003F7233">
        <w:rPr>
          <w:rFonts w:ascii="Times New Roman" w:eastAsia="Times New Roman" w:hAnsi="Times New Roman" w:cs="Times New Roman"/>
          <w:b/>
          <w:bCs/>
          <w:sz w:val="24"/>
          <w:szCs w:val="24"/>
        </w:rPr>
        <w:t xml:space="preserve">Email: </w:t>
      </w:r>
      <w:r w:rsidRPr="003F7233">
        <w:rPr>
          <w:rFonts w:ascii="Times New Roman" w:eastAsia="Times New Roman" w:hAnsi="Times New Roman" w:cs="Times New Roman"/>
          <w:sz w:val="24"/>
          <w:szCs w:val="24"/>
        </w:rPr>
        <w:t xml:space="preserve">kadous@hejen.qa </w:t>
      </w:r>
    </w:p>
    <w:p w:rsidR="002C6818" w:rsidRDefault="002C6818">
      <w:bookmarkStart w:id="0" w:name="_GoBack"/>
      <w:bookmarkEnd w:id="0"/>
    </w:p>
    <w:sectPr w:rsidR="002C6818" w:rsidSect="00657E9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233"/>
    <w:rsid w:val="002C6818"/>
    <w:rsid w:val="003F7233"/>
    <w:rsid w:val="00657E99"/>
    <w:rsid w:val="00C078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8096C-9F55-4684-8347-01E93C70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777245">
      <w:bodyDiv w:val="1"/>
      <w:marLeft w:val="0"/>
      <w:marRight w:val="0"/>
      <w:marTop w:val="0"/>
      <w:marBottom w:val="0"/>
      <w:divBdr>
        <w:top w:val="none" w:sz="0" w:space="0" w:color="auto"/>
        <w:left w:val="none" w:sz="0" w:space="0" w:color="auto"/>
        <w:bottom w:val="none" w:sz="0" w:space="0" w:color="auto"/>
        <w:right w:val="none" w:sz="0" w:space="0" w:color="auto"/>
      </w:divBdr>
      <w:divsChild>
        <w:div w:id="1886137072">
          <w:marLeft w:val="0"/>
          <w:marRight w:val="0"/>
          <w:marTop w:val="0"/>
          <w:marBottom w:val="0"/>
          <w:divBdr>
            <w:top w:val="none" w:sz="0" w:space="0" w:color="auto"/>
            <w:left w:val="none" w:sz="0" w:space="0" w:color="auto"/>
            <w:bottom w:val="none" w:sz="0" w:space="0" w:color="auto"/>
            <w:right w:val="none" w:sz="0" w:space="0" w:color="auto"/>
          </w:divBdr>
        </w:div>
        <w:div w:id="1491367797">
          <w:marLeft w:val="0"/>
          <w:marRight w:val="0"/>
          <w:marTop w:val="0"/>
          <w:marBottom w:val="0"/>
          <w:divBdr>
            <w:top w:val="none" w:sz="0" w:space="0" w:color="auto"/>
            <w:left w:val="none" w:sz="0" w:space="0" w:color="auto"/>
            <w:bottom w:val="none" w:sz="0" w:space="0" w:color="auto"/>
            <w:right w:val="none" w:sz="0" w:space="0" w:color="auto"/>
          </w:divBdr>
          <w:divsChild>
            <w:div w:id="1039210144">
              <w:marLeft w:val="0"/>
              <w:marRight w:val="0"/>
              <w:marTop w:val="0"/>
              <w:marBottom w:val="0"/>
              <w:divBdr>
                <w:top w:val="none" w:sz="0" w:space="0" w:color="auto"/>
                <w:left w:val="none" w:sz="0" w:space="0" w:color="auto"/>
                <w:bottom w:val="none" w:sz="0" w:space="0" w:color="auto"/>
                <w:right w:val="none" w:sz="0" w:space="0" w:color="auto"/>
              </w:divBdr>
              <w:divsChild>
                <w:div w:id="1237516713">
                  <w:marLeft w:val="0"/>
                  <w:marRight w:val="0"/>
                  <w:marTop w:val="0"/>
                  <w:marBottom w:val="0"/>
                  <w:divBdr>
                    <w:top w:val="none" w:sz="0" w:space="0" w:color="auto"/>
                    <w:left w:val="none" w:sz="0" w:space="0" w:color="auto"/>
                    <w:bottom w:val="none" w:sz="0" w:space="0" w:color="auto"/>
                    <w:right w:val="none" w:sz="0" w:space="0" w:color="auto"/>
                  </w:divBdr>
                </w:div>
              </w:divsChild>
            </w:div>
            <w:div w:id="1968274703">
              <w:marLeft w:val="0"/>
              <w:marRight w:val="0"/>
              <w:marTop w:val="0"/>
              <w:marBottom w:val="0"/>
              <w:divBdr>
                <w:top w:val="none" w:sz="0" w:space="0" w:color="auto"/>
                <w:left w:val="none" w:sz="0" w:space="0" w:color="auto"/>
                <w:bottom w:val="none" w:sz="0" w:space="0" w:color="auto"/>
                <w:right w:val="none" w:sz="0" w:space="0" w:color="auto"/>
              </w:divBdr>
              <w:divsChild>
                <w:div w:id="2142923323">
                  <w:marLeft w:val="0"/>
                  <w:marRight w:val="0"/>
                  <w:marTop w:val="0"/>
                  <w:marBottom w:val="0"/>
                  <w:divBdr>
                    <w:top w:val="none" w:sz="0" w:space="0" w:color="auto"/>
                    <w:left w:val="none" w:sz="0" w:space="0" w:color="auto"/>
                    <w:bottom w:val="none" w:sz="0" w:space="0" w:color="auto"/>
                    <w:right w:val="none" w:sz="0" w:space="0" w:color="auto"/>
                  </w:divBdr>
                </w:div>
              </w:divsChild>
            </w:div>
            <w:div w:id="1760834566">
              <w:marLeft w:val="0"/>
              <w:marRight w:val="0"/>
              <w:marTop w:val="0"/>
              <w:marBottom w:val="0"/>
              <w:divBdr>
                <w:top w:val="none" w:sz="0" w:space="0" w:color="auto"/>
                <w:left w:val="none" w:sz="0" w:space="0" w:color="auto"/>
                <w:bottom w:val="none" w:sz="0" w:space="0" w:color="auto"/>
                <w:right w:val="none" w:sz="0" w:space="0" w:color="auto"/>
              </w:divBdr>
              <w:divsChild>
                <w:div w:id="17471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onaqasat.mof.gov.qa/Pages/TenderDetails.aspx?num=6427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1788</Words>
  <Characters>10198</Characters>
  <Application>Microsoft Office Word</Application>
  <DocSecurity>0</DocSecurity>
  <Lines>84</Lines>
  <Paragraphs>23</Paragraphs>
  <ScaleCrop>false</ScaleCrop>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مركز المهندس</dc:creator>
  <cp:keywords/>
  <dc:description/>
  <cp:lastModifiedBy>مركز المهندس</cp:lastModifiedBy>
  <cp:revision>2</cp:revision>
  <dcterms:created xsi:type="dcterms:W3CDTF">2024-03-17T08:06:00Z</dcterms:created>
  <dcterms:modified xsi:type="dcterms:W3CDTF">2024-03-17T08:06:00Z</dcterms:modified>
</cp:coreProperties>
</file>